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1"/>
        <w:rPr>
          <w:rFonts w:hint="eastAsia"/>
        </w:rPr>
      </w:pPr>
      <w:r>
        <w:rPr>
          <w:rFonts w:hint="eastAsia"/>
        </w:rPr>
      </w:r>
      <w:r/>
    </w:p>
    <w:p>
      <w:pPr>
        <w:pStyle w:val="95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政务云数据安全态势感知体系及密码安全建设</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869"/>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：JSZC-320100-JZCG-G2025-0493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8"/>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36</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52" w:lineRule="auto"/>
        <w:widowControl w:val="off"/>
        <w:rPr>
          <w:rFonts w:ascii="宋体" w:hAnsi="宋体"/>
          <w:color w:val="000000"/>
          <w:sz w:val="24"/>
          <w:szCs w:val="24"/>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南京市城市数字治理中心</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政务云数据安全态势感知体系及密码安全建设</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olor w:val="0000ff"/>
          <w:sz w:val="24"/>
          <w:szCs w:val="24"/>
        </w:rPr>
      </w:pPr>
      <w:r/>
      <w:bookmarkEnd w:id="11"/>
      <w:r/>
      <w:bookmarkStart w:id="12" w:name="_Toc28359003"/>
      <w:r/>
      <w:bookmarkStart w:id="13" w:name="_Toc28359080"/>
      <w:r/>
      <w:bookmarkStart w:id="14" w:name="_Toc35393622"/>
      <w:r/>
      <w:bookmarkStart w:id="15" w:name="_Toc35393791"/>
      <w:r/>
      <w:bookmarkStart w:id="16" w:name="_Toc38985264"/>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JSZC-320100-JZCG-G2025-0493</w:t>
      </w:r>
      <w:r>
        <w:rPr>
          <w:rFonts w:hint="eastAsia" w:ascii="宋体" w:hAnsi="宋体" w:eastAsia="宋体" w:cs="Times New Roman"/>
          <w:color w:val="0000ff"/>
          <w:sz w:val="24"/>
          <w:szCs w:val="24"/>
          <w:lang w:eastAsia="zh-CN"/>
        </w:rPr>
        <w:t xml:space="preserve"> </w:t>
      </w:r>
      <w:r>
        <w:rPr>
          <w:rFonts w:ascii="宋体" w:hAnsi="宋体"/>
          <w:color w:val="0000ff"/>
          <w:sz w:val="24"/>
          <w:szCs w:val="24"/>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政务云数据安全态势感知体系及密码安全建设</w:t>
      </w:r>
      <w:r>
        <w:rPr>
          <w:rFonts w:hint="eastAsia" w:ascii="宋体" w:hAnsi="宋体" w:eastAsia="宋体"/>
          <w:color w:val="000000"/>
          <w:sz w:val="24"/>
          <w:szCs w:val="24"/>
          <w:lang w:eastAsia="zh-CN"/>
        </w:rPr>
      </w:r>
      <w:r/>
    </w:p>
    <w:p>
      <w:pPr>
        <w:pStyle w:val="869"/>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782.2</w:t>
      </w:r>
      <w:r>
        <w:rPr>
          <w:rFonts w:hint="eastAsia" w:ascii="宋体" w:hAnsi="宋体" w:eastAsia="宋体" w:cs="Times New Roman"/>
          <w:color w:val="000000"/>
          <w:sz w:val="24"/>
          <w:szCs w:val="24"/>
          <w:lang w:val="en-US" w:eastAsia="zh-CN"/>
        </w:rPr>
        <w:t xml:space="preserve">万元</w:t>
      </w:r>
      <w:r>
        <w:rPr>
          <w:rFonts w:hint="eastAsia" w:ascii="宋体" w:hAnsi="宋体"/>
          <w:color w:val="000000"/>
          <w:sz w:val="24"/>
          <w:szCs w:val="24"/>
        </w:rPr>
      </w:r>
      <w:r/>
    </w:p>
    <w:p>
      <w:pPr>
        <w:pStyle w:val="869"/>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69"/>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随着《网络数据安全管理条例》及《江苏省公共数据攻坚三年行动方案（2024-2026年）》实施，公共数据授权运营工作的逐步有序开展，对数据资产梳理、数据流动监测等安全管理工作提出了更高的要求。当前南京市政务云安全建设在网络安全监测方面有一定基础，但数据安全技术能力与下一步工作要求存在差距。拟通过本项目建设，提升我市政务数据保障能力。同时，南京市政务云（麒麟政务数据中心）建设起步于2020年，尚未完全符合最新的商用密码应用安全性评估的相关要求，拟按照《密码法》及相关标准建设要求进行改造。</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270天</w:t>
      </w:r>
      <w:r>
        <w:rPr>
          <w:rFonts w:hint="eastAsia" w:ascii="宋体" w:hAnsi="宋体" w:eastAsia="宋体"/>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81"/>
      <w:r/>
      <w:bookmarkStart w:id="18" w:name="_Toc35393623"/>
      <w:r/>
      <w:bookmarkStart w:id="19" w:name="_Toc35393792"/>
      <w:r/>
      <w:bookmarkStart w:id="20" w:name="_Toc38985265"/>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软件和信息技术服务业</w:t>
      </w:r>
      <w:r>
        <w:rPr>
          <w:rFonts w:hint="eastAsia" w:ascii="宋体" w:hAnsi="宋体" w:eastAsia="宋体" w:cs="Times New Roman"/>
          <w:color w:val="000000"/>
          <w:sz w:val="24"/>
          <w:szCs w:val="24"/>
          <w:u w:val="none"/>
          <w:lang w:val="zh-CN"/>
        </w:rPr>
        <w:t xml:space="preserve">。</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38985267"/>
      <w:r/>
      <w:bookmarkStart w:id="30" w:name="_Toc28359007"/>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12</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28359085"/>
      <w:r/>
      <w:bookmarkStart w:id="37" w:name="_Toc35393796"/>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52"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4"/>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9"/>
        <w:ind w:firstLine="482"/>
        <w:spacing w:line="252"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sz w:val="24"/>
          <w:szCs w:val="24"/>
          <w:highlight w:val="non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w:t>
      </w:r>
      <w:r>
        <w:rPr>
          <w:rFonts w:hint="eastAsia" w:ascii="宋体" w:hAnsi="宋体"/>
          <w:color w:val="000000"/>
          <w:sz w:val="24"/>
          <w:szCs w:val="24"/>
        </w:rPr>
        <w:t xml:space="preserve">南京市城市数字治理中心</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color w:val="000000"/>
          <w:sz w:val="24"/>
          <w:szCs w:val="24"/>
        </w:rPr>
        <w:t xml:space="preserve">南京市建邺区江东中路265号新城大厦D座4-6层</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徐先生</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联系电话：025-68789539 </w:t>
      </w:r>
      <w:bookmarkStart w:id="40" w:name="_Toc28359086"/>
      <w:r/>
      <w:bookmarkStart w:id="41" w:name="_Toc28359009"/>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w:t>
      </w:r>
      <w:r>
        <w:rPr>
          <w:rFonts w:hint="eastAsia" w:ascii="宋体" w:hAnsi="宋体" w:cs="Times New Roman"/>
          <w:color w:val="000000"/>
          <w:sz w:val="24"/>
          <w:szCs w:val="24"/>
          <w:u w:val="none"/>
          <w:lang w:val="en-US" w:eastAsia="zh-CN"/>
        </w:rPr>
      </w:r>
      <w:r/>
    </w:p>
    <w:p>
      <w:pPr>
        <w:pStyle w:val="869"/>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联系电话：025-68505991 </w:t>
      </w:r>
      <w:r>
        <w:rPr>
          <w:rFonts w:hint="eastAsia"/>
          <w:color w:val="000000"/>
          <w:u w:val="none"/>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6938519"/>
      <w:r/>
      <w:bookmarkStart w:id="50" w:name="_Toc120614214"/>
      <w:r/>
      <w:bookmarkStart w:id="51" w:name="_Toc479757207"/>
      <w:r/>
      <w:bookmarkStart w:id="52" w:name="_Toc120614221"/>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462564070"/>
      <w:r/>
      <w:bookmarkStart w:id="80" w:name="_Toc513029211"/>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16938529"/>
      <w:r/>
      <w:bookmarkStart w:id="89" w:name="_Toc513029213"/>
      <w:r/>
      <w:bookmarkStart w:id="90"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670360"/>
      <w:r/>
      <w:bookmarkEnd w:id="100"/>
      <w:r/>
      <w:bookmarkStart w:id="101" w:name="_Toc14577357"/>
      <w:r/>
      <w:bookmarkStart w:id="102" w:name="_Toc49090509"/>
      <w:r/>
      <w:bookmarkStart w:id="103" w:name="_Toc513029219"/>
      <w:r/>
      <w:bookmarkStart w:id="104" w:name="_Toc49090507"/>
      <w:r/>
      <w:bookmarkStart w:id="105" w:name="_Toc513029216"/>
      <w:r/>
      <w:bookmarkStart w:id="106" w:name="_Toc14577354"/>
      <w:r/>
      <w:bookmarkStart w:id="107" w:name="_Hlt26954838"/>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9"/>
      <w:r/>
      <w:bookmarkStart w:id="110" w:name="_Hlt26670373"/>
      <w:r/>
      <w:bookmarkEnd w:id="110"/>
      <w:r>
        <w:rPr>
          <w:rFonts w:hint="eastAsia" w:ascii="方正楷体_GBK" w:hAnsi="方正楷体_GBK" w:eastAsia="方正楷体_GBK" w:cs="方正楷体_GBK"/>
          <w:b/>
          <w:bCs/>
        </w:rPr>
        <w:t xml:space="preserve">表</w:t>
      </w:r>
      <w:bookmarkEnd w:id="108"/>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954844"/>
      <w:r/>
      <w:bookmarkEnd w:id="114"/>
      <w:r/>
      <w:bookmarkStart w:id="115" w:name="_Hlt26954846"/>
      <w:r/>
      <w:bookmarkEnd w:id="115"/>
      <w:r/>
      <w:bookmarkStart w:id="116" w:name="_Hlt26670403"/>
      <w:r/>
      <w:bookmarkEnd w:id="116"/>
      <w:r/>
      <w:bookmarkStart w:id="117" w:name="_Hlt26670482"/>
      <w:r/>
      <w:bookmarkEnd w:id="117"/>
      <w:r/>
      <w:bookmarkStart w:id="118" w:name="_Hlt26954731"/>
      <w:r/>
      <w:bookmarkEnd w:id="118"/>
      <w:r/>
      <w:bookmarkStart w:id="119" w:name="_Hlt26670425"/>
      <w:r/>
      <w:bookmarkEnd w:id="119"/>
      <w:r/>
      <w:bookmarkStart w:id="120" w:name="_Hlt26954842"/>
      <w:r/>
      <w:bookmarkEnd w:id="120"/>
      <w:r/>
      <w:bookmarkStart w:id="121" w:name="_Hlt26670486"/>
      <w:r/>
      <w:bookmarkEnd w:id="121"/>
      <w:r/>
      <w:bookmarkStart w:id="122" w:name="_Hlt2666898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513029224"/>
      <w:r/>
      <w:bookmarkStart w:id="133" w:name="_Toc120614217"/>
      <w:r/>
      <w:bookmarkStart w:id="134" w:name="_Toc16938540"/>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513029225"/>
      <w:r/>
      <w:bookmarkStart w:id="138" w:name="_Toc20823297"/>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8" w:name="_Toc513029235"/>
      <w:r/>
      <w:bookmarkStart w:id="169" w:name="_Toc120614219"/>
      <w:r/>
      <w:bookmarkStart w:id="170" w:name="_Toc20823307"/>
      <w:r/>
      <w:bookmarkStart w:id="171"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w:t>
      </w:r>
      <w:r>
        <w:rPr>
          <w:rFonts w:hint="eastAsia" w:ascii="宋体" w:hAnsi="宋体" w:eastAsia="宋体" w:cs="Times New Roman"/>
          <w:b w:val="0"/>
          <w:bCs w:val="0"/>
          <w:color w:val="000000"/>
          <w:sz w:val="24"/>
          <w:szCs w:val="22"/>
          <w:lang w:val="en-US" w:eastAsia="zh-CN" w:bidi="ar"/>
        </w:rPr>
        <w:t xml:space="preserve">对</w:t>
      </w:r>
      <w:r>
        <w:rPr>
          <w:rFonts w:hint="eastAsia" w:ascii="宋体" w:hAnsi="宋体" w:eastAsia="宋体" w:cs="Times New Roman"/>
          <w:b w:val="0"/>
          <w:bCs w:val="0"/>
          <w:color w:val="000000"/>
          <w:sz w:val="24"/>
          <w:szCs w:val="22"/>
          <w:lang w:val="zh-CN" w:eastAsia="zh-CN" w:bidi="ar"/>
        </w:rPr>
        <w:t xml:space="preserve">招标文件是否存在不合理条款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69"/>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20823308"/>
      <w:r/>
      <w:bookmarkStart w:id="178" w:name="_Toc513029236"/>
      <w:r/>
      <w:bookmarkStart w:id="179" w:name="_Toc16938552"/>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9"/>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3" w:name="_Toc20823315"/>
      <w:r/>
      <w:bookmarkStart w:id="184" w:name="_Toc16938559"/>
      <w:r/>
      <w:bookmarkStart w:id="185" w:name="_Toc513029243"/>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9"/>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81"/>
        <w:ind w:left="0"/>
        <w:rPr>
          <w:lang w:val="en-US"/>
        </w:rPr>
      </w:pPr>
      <w:r>
        <w:rPr>
          <w:rFonts w:hint="eastAsia" w:ascii="宋体" w:hAnsi="宋体" w:eastAsia="宋体" w:cs="Courier New"/>
          <w:sz w:val="24"/>
          <w:szCs w:val="24"/>
          <w:lang w:val="en-US"/>
        </w:rPr>
        <w:t xml:space="preserve">1.8 合同构成：本项目招标文件、投标文件为本合同组成部分，本合同没有规定的，按照招标文件、投标文件执行。</w:t>
      </w:r>
      <w:r>
        <w:rPr>
          <w:lang w:val="en-US"/>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09"/>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rPr>
          <w:rFonts w:hAnsi="宋体"/>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eastAsia="宋体" w:cs="Courier New"/>
          <w:color w:val="000000"/>
          <w:sz w:val="24"/>
          <w:szCs w:val="24"/>
        </w:rPr>
      </w:r>
      <w:r/>
    </w:p>
    <w:p>
      <w:pPr>
        <w:pStyle w:val="869"/>
        <w:spacing w:line="264" w:lineRule="auto"/>
        <w:rPr>
          <w:rFonts w:hint="eastAsia" w:ascii="宋体" w:hAnsi="宋体" w:eastAsia="宋体" w:cs="Courier New"/>
          <w:color w:val="000000"/>
          <w:sz w:val="24"/>
          <w:szCs w:val="24"/>
          <w:lang w:val="en-US"/>
        </w:rPr>
      </w:pPr>
      <w:r>
        <w:rPr>
          <w:rFonts w:hint="eastAsia" w:ascii="宋体" w:hAnsi="宋体" w:eastAsia="宋体" w:cs="Courier New"/>
          <w:color w:val="000000"/>
          <w:sz w:val="24"/>
          <w:szCs w:val="24"/>
          <w:lang w:val="en-US"/>
        </w:rPr>
        <w:t xml:space="preserve">4.2 本项目形成的技术成果（包括源代码、系统等）的知识产权归采购方所有；本项目开发、试运行以及后续使用过程中采集、分析、处理产生的数据资源、数据产品的所有权利（包括但不限于知识产权、数据资产等持有权、使用权、经营权）均归采购方所有。</w:t>
      </w:r>
      <w:r>
        <w:rPr>
          <w:rFonts w:hint="eastAsia" w:ascii="宋体" w:hAnsi="宋体" w:eastAsia="宋体" w:cs="Courier New"/>
          <w:color w:val="000000"/>
          <w:sz w:val="24"/>
          <w:szCs w:val="24"/>
          <w:lang w:val="en-US"/>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sz w:val="24"/>
          <w:szCs w:val="24"/>
          <w:highlight w:val="none"/>
        </w:rPr>
      </w:pPr>
      <w:r>
        <w:rPr>
          <w:rFonts w:hint="eastAsia" w:ascii="宋体" w:hAnsi="宋体" w:cs="Courier New"/>
          <w:sz w:val="24"/>
          <w:szCs w:val="24"/>
          <w:highlight w:val="none"/>
        </w:rPr>
        <w:t xml:space="preserve">6.1 签订合同时，乙方按照合同金额</w:t>
      </w:r>
      <w:r>
        <w:rPr>
          <w:rFonts w:hint="eastAsia" w:ascii="宋体" w:hAnsi="宋体" w:cs="Courier New"/>
          <w:sz w:val="24"/>
          <w:szCs w:val="24"/>
          <w:highlight w:val="none"/>
          <w:u w:val="none"/>
        </w:rPr>
        <w:t xml:space="preserve">10</w:t>
      </w:r>
      <w:r>
        <w:rPr>
          <w:rFonts w:hint="eastAsia" w:ascii="宋体" w:hAnsi="宋体" w:cs="Courier New"/>
          <w:sz w:val="24"/>
          <w:szCs w:val="24"/>
          <w:highlight w:val="none"/>
        </w:rPr>
        <w:t xml:space="preserve">%缴纳履约保证金。合同履行结束后，甲方按以下约定退还：</w:t>
      </w:r>
      <w:r>
        <w:rPr>
          <w:rFonts w:hint="eastAsia" w:ascii="宋体" w:hAnsi="宋体" w:cs="Courier New"/>
          <w:sz w:val="24"/>
          <w:szCs w:val="24"/>
          <w:highlight w:val="none"/>
        </w:rPr>
      </w:r>
      <w:r/>
    </w:p>
    <w:p>
      <w:pPr>
        <w:pStyle w:val="869"/>
        <w:rPr>
          <w:rFonts w:ascii="宋体" w:hAnsi="宋体" w:cs="Courier New"/>
          <w:sz w:val="24"/>
          <w:szCs w:val="24"/>
          <w:highlight w:val="none"/>
        </w:rPr>
      </w:pPr>
      <w:r>
        <w:rPr>
          <w:rFonts w:hint="eastAsia" w:ascii="宋体" w:hAnsi="宋体" w:cs="Courier New"/>
          <w:sz w:val="24"/>
          <w:szCs w:val="24"/>
          <w:highlight w:val="none"/>
        </w:rPr>
        <w:t xml:space="preserve">6.1.1 退还时间及条件：验收合格且3年质保期结束后5个工作日内。</w:t>
      </w:r>
      <w:r>
        <w:rPr>
          <w:rFonts w:ascii="宋体" w:hAnsi="宋体" w:cs="Courier New"/>
          <w:sz w:val="24"/>
          <w:szCs w:val="24"/>
          <w:highlight w:val="none"/>
        </w:rPr>
      </w:r>
      <w:r/>
    </w:p>
    <w:p>
      <w:pPr>
        <w:pStyle w:val="869"/>
        <w:rPr>
          <w:rFonts w:hint="eastAsia" w:ascii="宋体" w:hAnsi="宋体" w:cs="Courier New"/>
          <w:sz w:val="24"/>
          <w:szCs w:val="24"/>
          <w:highlight w:val="none"/>
        </w:rPr>
      </w:pPr>
      <w:r>
        <w:rPr>
          <w:rFonts w:hint="eastAsia" w:ascii="宋体" w:hAnsi="宋体" w:cs="Courier New"/>
          <w:sz w:val="24"/>
          <w:szCs w:val="24"/>
          <w:highlight w:val="none"/>
        </w:rPr>
        <w:t xml:space="preserve">6.1.2 退还方式：扣除违约费用后一次性无息退还。</w:t>
      </w:r>
      <w:r>
        <w:rPr>
          <w:rFonts w:hint="eastAsia" w:ascii="宋体" w:hAnsi="宋体" w:cs="Courier New"/>
          <w:sz w:val="24"/>
          <w:szCs w:val="24"/>
          <w:highlight w:val="none"/>
        </w:rPr>
      </w:r>
      <w:r/>
    </w:p>
    <w:p>
      <w:pPr>
        <w:pStyle w:val="869"/>
        <w:rPr>
          <w:rFonts w:ascii="宋体" w:hAnsi="宋体" w:cs="Courier New"/>
          <w:sz w:val="24"/>
          <w:szCs w:val="24"/>
          <w:highlight w:val="none"/>
        </w:rPr>
      </w:pPr>
      <w:r>
        <w:rPr>
          <w:rFonts w:hint="eastAsia" w:ascii="宋体" w:hAnsi="宋体" w:cs="Courier New"/>
          <w:sz w:val="24"/>
          <w:szCs w:val="24"/>
          <w:highlight w:val="none"/>
        </w:rPr>
        <w:t xml:space="preserve">6.1.3 不予退还的情形：合同约定的交付期内未履约完成、验收不合格、整改不到位等情形。</w:t>
      </w:r>
      <w:r>
        <w:rPr>
          <w:rFonts w:ascii="宋体" w:hAnsi="宋体" w:cs="Courier New"/>
          <w:sz w:val="24"/>
          <w:szCs w:val="24"/>
          <w:highlight w:val="none"/>
        </w:rPr>
      </w:r>
      <w:r/>
    </w:p>
    <w:p>
      <w:pPr>
        <w:pStyle w:val="869"/>
        <w:rPr>
          <w:rFonts w:hint="eastAsia" w:ascii="宋体" w:hAnsi="宋体" w:cs="Courier New"/>
          <w:sz w:val="24"/>
          <w:szCs w:val="24"/>
          <w:highlight w:val="none"/>
        </w:rPr>
      </w:pPr>
      <w:r>
        <w:rPr>
          <w:rFonts w:hint="eastAsia" w:ascii="宋体" w:hAnsi="宋体" w:cs="Courier New"/>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highlight w:val="none"/>
        </w:rPr>
      </w:r>
      <w:r/>
    </w:p>
    <w:p>
      <w:pPr>
        <w:pStyle w:val="869"/>
        <w:spacing w:line="264" w:lineRule="auto"/>
        <w:rPr>
          <w:rFonts w:hint="eastAsia" w:ascii="宋体" w:hAnsi="宋体" w:cs="Courier New"/>
          <w:sz w:val="24"/>
          <w:szCs w:val="24"/>
          <w:highlight w:val="none"/>
        </w:rPr>
        <w:outlineLvl w:val="3"/>
      </w:pPr>
      <w:r>
        <w:rPr>
          <w:rFonts w:hint="eastAsia" w:ascii="宋体" w:hAnsi="宋体" w:cs="Courier New"/>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sz w:val="24"/>
          <w:szCs w:val="24"/>
          <w:highlight w:val="none"/>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sz w:val="24"/>
          <w:szCs w:val="24"/>
        </w:rPr>
        <w:t xml:space="preserve">七、合同转包或</w:t>
      </w:r>
      <w:r>
        <w:rPr>
          <w:rFonts w:hint="eastAsia" w:ascii="方正黑体_GBK" w:hAnsi="方正黑体_GBK" w:eastAsia="方正黑体_GBK" w:cs="方正黑体_GBK"/>
          <w:bCs/>
          <w:color w:val="000000"/>
          <w:sz w:val="24"/>
          <w:szCs w:val="24"/>
        </w:rPr>
        <w:t xml:space="preserve">分包</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09"/>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8.1.1 合同签订后，甲方支付合同总价款的30%作为预付款。</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8.1.2 设备到货验收，完成安装、调试部署，完成初步验收，甲方支付合同总价款的40%。</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8.1.3 项目终验合格后，甲方支付合同总价款的30%。</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8.1.4 满足合同约定支付条件的，甲方收到乙方发票后10个工作日内，将资金支付到合同约定的乙方账户。 </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09"/>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sz w:val="24"/>
          <w:lang w:val="zh-CN"/>
        </w:rPr>
        <w:t xml:space="preserve">本项目中如涉及网络关键设备或网络安全专用产品的，</w:t>
      </w:r>
      <w:r>
        <w:rPr>
          <w:rFonts w:hint="eastAsia" w:ascii="宋体" w:hAnsi="宋体"/>
          <w:sz w:val="24"/>
        </w:rPr>
        <w:t xml:space="preserve">乙方应确保</w:t>
      </w:r>
      <w:r>
        <w:rPr>
          <w:rFonts w:hint="eastAsia" w:ascii="宋体" w:hAnsi="宋体"/>
          <w:sz w:val="24"/>
          <w:lang w:val="zh-CN"/>
        </w:rPr>
        <w:t xml:space="preserve">至少符合以下条件之一：一是已由具备资格的机构安全认证合格或安全检测符合要求；二是已获得《计算机信息系统安全专用产品销售许可证》，且在有效期内。本项目中如涉及国家强制性产品认证证书（CCC认证证书）、电信设备进网许可证、无线电发射设备核准证等市场准入类资质的，</w:t>
      </w:r>
      <w:r>
        <w:rPr>
          <w:rFonts w:hint="eastAsia" w:ascii="宋体" w:hAnsi="宋体"/>
          <w:sz w:val="24"/>
        </w:rPr>
        <w:t xml:space="preserve">乙方应确保</w:t>
      </w:r>
      <w:r>
        <w:rPr>
          <w:rFonts w:hint="eastAsia" w:ascii="宋体" w:hAnsi="宋体"/>
          <w:sz w:val="24"/>
          <w:lang w:val="zh-CN"/>
        </w:rPr>
        <w:t xml:space="preserve">严格执行国家相关法律法规的要求。</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13.6乙方在履约过程中应严格遵守国家网络安全、数据安全和密码管理法律法规，若因乙方原因导致甲方数据泄露、篡改、损毁或系统安全事件的，乙方应承担全部法律责任，并赔偿甲方因此遭受的所有损失，包括但不限于系统修复、数据恢复、应急处置及行政处罚支出。</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13.7 乙方应在质保期及运维期内提供7×24小时技术支持。若甲方提出的技术支持、故障处理或安全应急响应未在合同约定时间内（紧急事件4小时内、一般事件8小时内）响应的，每次延误按合同总价款的 1‰ 计违约金；超过48小时未解决的，甲方可委托第三方修复，相关费用由乙方承担。</w:t>
      </w:r>
      <w:r>
        <w:rPr>
          <w:rFonts w:hint="eastAsia" w:ascii="宋体" w:hAnsi="宋体" w:cs="Courier New"/>
          <w:color w:val="000000"/>
          <w:sz w:val="24"/>
          <w:szCs w:val="24"/>
        </w:rPr>
      </w:r>
      <w:r/>
    </w:p>
    <w:p>
      <w:pPr>
        <w:pStyle w:val="869"/>
        <w:spacing w:line="264" w:lineRule="auto"/>
        <w:rPr>
          <w:rFonts w:ascii="宋体" w:hAnsi="宋体" w:cs="Courier New"/>
          <w:color w:val="000000"/>
          <w:sz w:val="24"/>
          <w:szCs w:val="24"/>
        </w:rPr>
      </w:pPr>
      <w:r>
        <w:rPr>
          <w:rFonts w:hint="eastAsia" w:ascii="宋体" w:hAnsi="宋体" w:cs="Courier New"/>
          <w:color w:val="000000"/>
          <w:sz w:val="24"/>
          <w:szCs w:val="24"/>
        </w:rPr>
        <w:t xml:space="preserve">13.8 乙方若泄露甲方涉密信息、数据或系统安全配置的，甲方有权立即解除合同，并要求乙方承担违约金（不低于合同总价的 10%）及赔偿全部损失。</w:t>
      </w:r>
      <w:r>
        <w:rPr>
          <w:rFonts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0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869"/>
        <w:ind w:firstLine="480"/>
        <w:spacing w:line="288" w:lineRule="auto"/>
        <w:rPr>
          <w:rFonts w:hint="eastAsia" w:ascii="宋体" w:hAnsi="宋体"/>
          <w:color w:val="0000ff"/>
          <w:sz w:val="24"/>
          <w:szCs w:val="24"/>
        </w:rPr>
      </w:pPr>
      <w:r>
        <w:rPr>
          <w:rFonts w:hint="eastAsia" w:ascii="宋体" w:hAnsi="宋体" w:cs="宋体"/>
          <w:bCs/>
          <w:sz w:val="24"/>
          <w:szCs w:val="24"/>
        </w:rPr>
        <w:t xml:space="preserve">随着《网络数据安全管理条例》及《江苏省公共数据攻坚三年行动方案（2024-2026年）》实施，公共数据授权运营工作的逐步有序开展，对数据资产梳理、数据流动监测等安全管理工作提出了更高的要求。当前我市政务外网和政务云安全建设在网络安全监测方面有一定基础，但数据安全技术能力与下一步工作要求存在差距。拟通过本项目建设，提升我市政务数据保障能力。同时，因市政务云（麒麟政务数据中心）建设时间较早，尚未完全符合最新的商用密码应用安全性评估的相关要求，需要按照《密码法》及相关要求进行整改。</w:t>
      </w:r>
      <w:r>
        <w:rPr>
          <w:rFonts w:hint="eastAsia" w:ascii="宋体" w:hAnsi="宋体"/>
          <w:color w:val="0000ff"/>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《中华人民共和国网络安全法》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《中华人民共和国数据安全法》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《中华人民共和国密码法》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《网络数据安全管理条例》</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《关键信息基础设施安全保护条例》</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《中华人民共和国个人信息保护法》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《互联网政务应用安全管理规定》</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《“互联网 + 政务服务” 技术体系建设指南》</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《全国一体化政务大数据体系建设指南》</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《政务数据共享条例》</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《关键信息基础设施商用密码使用管理规定》</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《江苏省省级政务信息化项目建设管理办法》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《江苏省贯彻落实〈政务数据共享条例〉工作手册》</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《江苏省公共数据授权运营管理暂行办法》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《南京市公共数据授权运营管理暂行办法》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45396-2025《数据安全技术 政务数据处理安全要求》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35273-2020《个人信息安全规范》</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江苏DB32/T 4608.1-2023《公共数据管理规范 第1部分：数据分类分级》</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39786-2021《信息安全技术 信息系统密码应用基本要求》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43206-2023《信息安全技术 信息系统密码应用测评要求》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GW 0013-2017《政务云安全要求》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《政务信息系统密码应用与安全性评估工作指南》</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《政务领域政务云密码应用与安全性评估实施指南》</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22239-2019《信息安全技术 网络安全等级保护基本要求》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GM/T 0136-2024《密码应用HTTP接口规范》</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GM/T 0137-2024《密码卡技术要求》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GM/T 0104-2021《云服务器密码机技术规范》</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GM/T 0030-2014《服务器密码机技术规范》</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39786-2021《信息系统密码应用基本要求》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GB/T 43206-2023《信息系统密码应用测评要求》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GM/T 0116-2021《信息系统密码应用测评过程指南》</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江苏省DB32/T 5073.2-2025《政务“一朵云”密码应用技术要求》</w:t>
      </w:r>
      <w:r>
        <w:rPr>
          <w:rFonts w:hint="eastAsia" w:ascii="宋体" w:hAnsi="宋体" w:cs="宋体"/>
          <w:bCs/>
          <w:sz w:val="24"/>
          <w:szCs w:val="24"/>
        </w:rPr>
      </w:r>
      <w:r/>
    </w:p>
    <w:p>
      <w:pPr>
        <w:pStyle w:val="869"/>
        <w:ind w:firstLine="480"/>
        <w:spacing w:line="264" w:lineRule="auto"/>
        <w:rPr>
          <w:rFonts w:hint="eastAsia" w:ascii="宋体" w:hAnsi="宋体"/>
          <w:color w:val="0000ff"/>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olor w:val="0000ff"/>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（三）建设目标</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南京市政务云亟待进一步筑牢数据安全防护屏障。为切实保障数据安全，需从源头精准识别数据泄露风险隐患，将政务信息系统数据安全作为核心要点，对各类业务应用实施分级分类保护策略。针对不同敏感等级的数据，量身定制差异化的操作审计机制，确保数据在传输、存储、使用等各环节均能有效防范篡改、窃取等安全威胁。</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在此基础上，严格遵循“主动防御、综合防范、强化管理”的原则，构建覆盖数据传输、共享、交换生命周期的监测防御体系。通过搭建数据安全态势感知体系，对数据流转的各个环节进行实时动态监测，实现风险隐患的快速预警。一旦发现异常情况，能够迅速溯源，精准定位问题源头，并及时联动相关部门和系统采取应急处置措施，将安全风险控制在最小范围。通过以上举措，全方位、多层次地保障核心业务系统数据安全，为南京市政务云的稳定运行和政务服务的高效开展提供坚实可靠的安全支撑。</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密码安全能力方面，根据国家密码管理局《政务信息系统密码应用基本要求》及相关技术标准，以满足政务云的密码应用安全建设为主，包含如下几点：</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构建自主可控的物理安全体系：全面替换麒麟机房现有门禁、监控设备，实现关键区域100%国产密码技术覆盖，夯实政务云基础环境安全防线。</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打造集约化密码服务中台：完成政务云互联网区、公用网络区及容灾区商用密码改造，建立三级密码应用安全防护体系，部署统一密码服务管理平台，集成密码设备管理、服务调度及安全审计功能，通过云平台密码模块与硬件密码机协同，实现操作日志、访问控制等关键数据完整性保护。</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提升核心数据安全保障能力：对云服务应用层身份鉴别模块实施国密技术改造，实现重要数据传输加密率100%、存储加密率100%，建立覆盖数据全生命周期的密码防护体系。</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sz w:val="24"/>
          <w:szCs w:val="24"/>
        </w:rPr>
      </w:r>
      <w:r/>
    </w:p>
    <w:tbl>
      <w:tblPr>
        <w:tblW w:w="506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71"/>
        <w:gridCol w:w="734"/>
        <w:gridCol w:w="702"/>
        <w:gridCol w:w="1068"/>
        <w:gridCol w:w="1208"/>
        <w:gridCol w:w="1319"/>
        <w:gridCol w:w="935"/>
        <w:gridCol w:w="1291"/>
      </w:tblGrid>
      <w:tr>
        <w:trPr>
          <w:trHeight w:val="470"/>
        </w:trPr>
        <w:tc>
          <w:tcPr>
            <w:tcW w:w="329"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99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3"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414"/>
        </w:trPr>
        <w:tc>
          <w:tcPr>
            <w:tcW w:w="329"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数据安全态势分析系统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1400000</w:t>
            </w:r>
            <w:r>
              <w:rPr>
                <w:rFonts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
                <w:sz w:val="24"/>
                <w:szCs w:val="24"/>
              </w:rPr>
              <w:t xml:space="preserve">核心产品</w:t>
            </w: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数据流转分析子系统（公用网络区）</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172300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数据流转分析子系统（互联网区）</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225000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数据接口检测子系统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650000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数据库运维管理子系统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379500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门禁管理系统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25000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sz w:val="24"/>
                <w:szCs w:val="24"/>
              </w:rPr>
              <w:t xml:space="preserve">7</w:t>
            </w:r>
            <w:r>
              <w:rPr>
                <w:rFonts w:hint="eastAsia" w:ascii="宋体" w:hAnsi="宋体" w:cs="宋体"/>
                <w:bCs/>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门禁控制器（双门）</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2850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指纹/人脸识别型读卡器</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1600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按键型读卡器</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1900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门禁发卡器</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1900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门禁密钥注入器</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1500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CPU卡</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20</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张</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75</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视频监控安全网关</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49900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云平台密码系统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420000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密钥管理系统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130000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数字证书认证系统</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200000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云密码机</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92000</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系统集成</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安全组件对接定制开发服务</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数据安全运营</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年</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r>
        <w:trPr>
          <w:trHeight w:val="414"/>
        </w:trPr>
        <w:tc>
          <w:tcPr>
            <w:tcW w:w="329" w:type="dxa"/>
            <w:vAlign w:val="center"/>
            <w:textDirection w:val="lrTb"/>
            <w:noWrap w:val="false"/>
          </w:tcPr>
          <w:p>
            <w:pPr>
              <w:pStyle w:val="869"/>
              <w:jc w:val="center"/>
              <w:spacing w:line="264"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997"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场景定制开发服务</w:t>
            </w:r>
            <w:r>
              <w:rPr>
                <w:rFonts w:hint="eastAsia" w:ascii="宋体" w:hAnsi="宋体" w:cs="宋体"/>
                <w:bCs/>
                <w:sz w:val="24"/>
                <w:szCs w:val="24"/>
              </w:rPr>
            </w:r>
            <w:r/>
          </w:p>
        </w:tc>
        <w:tc>
          <w:tcPr>
            <w:tcW w:w="37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67"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47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5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rPr>
                <w:rFonts w:hint="eastAsia" w:ascii="宋体" w:hAnsi="宋体" w:cs="宋体"/>
                <w:bCs/>
                <w:sz w:val="24"/>
                <w:szCs w:val="24"/>
              </w:rPr>
            </w:r>
            <w:r/>
          </w:p>
        </w:tc>
      </w:tr>
    </w:tbl>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（一）技术要求</w:t>
      </w: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1、数据安全态势分析系统</w:t>
      </w:r>
      <w:r>
        <w:rPr>
          <w:rFonts w:hint="eastAsia" w:ascii="宋体" w:hAnsi="宋体" w:cs="宋体"/>
          <w:bCs/>
          <w:sz w:val="24"/>
          <w:szCs w:val="24"/>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8458"/>
      </w:tblGrid>
      <w:tr>
        <w:trPr>
          <w:trHeight w:val="177"/>
        </w:trPr>
        <w:tc>
          <w:tcPr>
            <w:tcW w:w="748" w:type="dxa"/>
            <w:vAlign w:val="center"/>
            <w:textDirection w:val="lrTb"/>
            <w:noWrap w:val="false"/>
          </w:tcPr>
          <w:p>
            <w:pPr>
              <w:pStyle w:val="869"/>
              <w:jc w:val="center"/>
              <w:widowControl/>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51" w:type="dxa"/>
            <w:vAlign w:val="center"/>
            <w:textDirection w:val="lrTb"/>
            <w:noWrap w:val="false"/>
          </w:tcPr>
          <w:p>
            <w:pPr>
              <w:pStyle w:val="869"/>
              <w:jc w:val="center"/>
              <w:widowControl/>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439"/>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★部署与性能</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支持虚拟化集群部署，集群规模不少于3台；系统处理能力不低于1.8万EPS；具备横向扩展能力，可根据后期业务发展需求，灵活提升平台流量处理性能与日志存储容量；</w:t>
            </w:r>
            <w:r>
              <w:rPr>
                <w:rFonts w:hint="eastAsia" w:ascii="宋体" w:hAnsi="宋体" w:cs="宋体"/>
                <w:bCs/>
                <w:sz w:val="24"/>
                <w:szCs w:val="24"/>
              </w:rPr>
            </w:r>
            <w:r/>
          </w:p>
        </w:tc>
      </w:tr>
      <w:tr>
        <w:trPr>
          <w:trHeight w:val="960"/>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数据资产梳理</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支持对数据库/实例进行自动扫描与解析，自动发现并提取数据库/实例信息、表信息、字段信息、表记录总条数等元数据信息，并识别其中的数据资产；支持对非结构化数据载体进行识别，提取的其中的元数据；</w:t>
            </w:r>
            <w:r>
              <w:rPr>
                <w:rFonts w:hint="eastAsia" w:ascii="宋体" w:hAnsi="宋体" w:cs="宋体"/>
                <w:bCs/>
                <w:sz w:val="24"/>
                <w:szCs w:val="24"/>
              </w:rPr>
            </w:r>
            <w:r/>
          </w:p>
        </w:tc>
      </w:tr>
      <w:tr>
        <w:trPr>
          <w:trHeight w:val="649"/>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对于存储中的静态数据与使用的流动数据，可识别具体的数据内容，并进行一定的敏感数据打标，并针对静态数据和流动数据以全局视图进行展示。提供细粒度到敏感数据内容的全局视图，可直接展示具体的敏感数据内容。；</w:t>
            </w:r>
            <w:r>
              <w:rPr>
                <w:rFonts w:hint="eastAsia" w:ascii="宋体" w:hAnsi="宋体" w:cs="宋体"/>
                <w:bCs/>
                <w:sz w:val="24"/>
                <w:szCs w:val="24"/>
              </w:rPr>
            </w:r>
            <w:r/>
          </w:p>
        </w:tc>
      </w:tr>
      <w:tr>
        <w:trPr>
          <w:trHeight w:val="870"/>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从接入日志中，动态发现账号资产；支持查看账号资产列表，并可查看每条账号资产的账号名称、类型（应用或数据库）、业务应用/数据库资产名称、应用Host/数据库地址、发现时间、数据标签、敏感数据访问量、去重访问量、告警数；</w:t>
            </w:r>
            <w:r>
              <w:rPr>
                <w:rFonts w:hint="eastAsia" w:ascii="宋体" w:hAnsi="宋体" w:cs="宋体"/>
                <w:bCs/>
                <w:sz w:val="24"/>
                <w:szCs w:val="24"/>
              </w:rPr>
            </w:r>
            <w:r/>
          </w:p>
        </w:tc>
      </w:tr>
      <w:tr>
        <w:trPr>
          <w:trHeight w:val="1080"/>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数据分类分级</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自定义安全分级评价要素生成数据安全分级模板，支持弹性定级标准，内置安全等级推荐计算表，通过用户自定义若发生泄露或破坏后分别对国家、公共、组织、个人等利益的影响，从而加权得出一个综合评判的等级；</w:t>
            </w:r>
            <w:r>
              <w:rPr>
                <w:rFonts w:hint="eastAsia" w:ascii="宋体" w:hAnsi="宋体" w:cs="宋体"/>
                <w:bCs/>
                <w:sz w:val="24"/>
                <w:szCs w:val="24"/>
              </w:rPr>
            </w:r>
            <w:r/>
          </w:p>
        </w:tc>
      </w:tr>
      <w:tr>
        <w:trPr>
          <w:trHeight w:val="719"/>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数据流动监测</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支持以链路的形式展示一段时间内的源IP通过应用访问数据库或者直接访问到数据库的行为，可以查看数据流转的节点、数据泄露的路径、访问者的源IP、访问时间和访问的数据内容等信息，</w:t>
            </w:r>
            <w:r>
              <w:rPr>
                <w:rFonts w:hint="eastAsia" w:ascii="宋体" w:hAnsi="宋体" w:cs="宋体"/>
                <w:sz w:val="24"/>
                <w:szCs w:val="24"/>
              </w:rPr>
              <w:t xml:space="preserve">提供产品功能截图证明材料；</w:t>
            </w:r>
            <w:r>
              <w:rPr>
                <w:rFonts w:hint="eastAsia" w:ascii="宋体" w:hAnsi="宋体" w:cs="宋体"/>
                <w:bCs/>
                <w:sz w:val="24"/>
                <w:szCs w:val="24"/>
              </w:rPr>
            </w:r>
            <w:r/>
          </w:p>
        </w:tc>
      </w:tr>
      <w:tr>
        <w:trPr>
          <w:trHeight w:val="1035"/>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数据安全风险分析</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支持告警降噪，支持根据告警的类型、等级等配置告警归并规则，支持基于告警信息配置后置过滤规则，增强告警信息的可读性，避免告警数据过多，运营人员精力过渡分散；</w:t>
            </w:r>
            <w:r>
              <w:rPr>
                <w:rFonts w:hint="eastAsia" w:ascii="宋体" w:hAnsi="宋体" w:cs="宋体"/>
                <w:bCs/>
                <w:sz w:val="24"/>
                <w:szCs w:val="24"/>
              </w:rPr>
            </w:r>
            <w:r/>
          </w:p>
        </w:tc>
      </w:tr>
      <w:tr>
        <w:trPr>
          <w:trHeight w:val="327"/>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通过自学习和用户自定义规则，对流量、日志进行实时统计和分析。内置规则包括：数据源安全、数据操作异常、数据流动异常、账号使用异常等大类；支持自定义场景，可灵活的将关心的多个分析规则放到同一个场景中组合显示；支持通过人工自建、配置分析脚本的方式生成分析规则。；</w:t>
            </w:r>
            <w:r>
              <w:rPr>
                <w:rFonts w:hint="eastAsia" w:ascii="宋体" w:hAnsi="宋体" w:cs="宋体"/>
                <w:bCs/>
                <w:sz w:val="24"/>
                <w:szCs w:val="24"/>
              </w:rPr>
            </w:r>
            <w:r/>
          </w:p>
        </w:tc>
      </w:tr>
      <w:tr>
        <w:trPr>
          <w:trHeight w:val="630"/>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支持配置境外IP获取大量敏感文件、境外访问数据库、敏感数据发送至境外、敏感数据被境外拉取等规则；</w:t>
            </w:r>
            <w:r>
              <w:rPr>
                <w:rFonts w:hint="eastAsia" w:ascii="宋体" w:hAnsi="宋体" w:cs="宋体"/>
                <w:bCs/>
                <w:sz w:val="24"/>
                <w:szCs w:val="24"/>
              </w:rPr>
            </w:r>
            <w:r/>
          </w:p>
        </w:tc>
      </w:tr>
      <w:tr>
        <w:trPr>
          <w:trHeight w:val="630"/>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支持配置内网IP获取大量敏感文件、个人终端使用高权帐号获取数据库敏感信息、个人终端获取大量身份证号、手机号或密码等规则；</w:t>
            </w:r>
            <w:r>
              <w:rPr>
                <w:rFonts w:hint="eastAsia" w:ascii="宋体" w:hAnsi="宋体" w:cs="宋体"/>
                <w:bCs/>
                <w:sz w:val="24"/>
                <w:szCs w:val="24"/>
              </w:rPr>
            </w:r>
            <w:r/>
          </w:p>
        </w:tc>
      </w:tr>
      <w:tr>
        <w:trPr>
          <w:trHeight w:val="90"/>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支持配置个人终端访问数据库、个人终端SSH登录服务器、外部ssh登录内部服务器；</w:t>
            </w:r>
            <w:r>
              <w:rPr>
                <w:rFonts w:hint="eastAsia" w:ascii="宋体" w:hAnsi="宋体" w:cs="宋体"/>
                <w:bCs/>
                <w:sz w:val="24"/>
                <w:szCs w:val="24"/>
              </w:rPr>
            </w:r>
            <w:r/>
          </w:p>
        </w:tc>
      </w:tr>
      <w:tr>
        <w:trPr>
          <w:trHeight w:val="90"/>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数据安全响应处置</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输入检索条件后针对出现的多个可疑来源IP进行集中度聚合统计分析，如目的IP出现占比、资产名称出现比例等，从而方便运营人员去快速分析研判；</w:t>
            </w:r>
            <w:r>
              <w:rPr>
                <w:rFonts w:hint="eastAsia" w:ascii="宋体" w:hAnsi="宋体" w:cs="宋体"/>
                <w:bCs/>
                <w:sz w:val="24"/>
                <w:szCs w:val="24"/>
              </w:rPr>
            </w:r>
            <w:r/>
          </w:p>
        </w:tc>
      </w:tr>
      <w:tr>
        <w:trPr>
          <w:trHeight w:val="90"/>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数据安全态势</w:t>
            </w:r>
            <w:r>
              <w:rPr>
                <w:rFonts w:hint="eastAsia" w:ascii="宋体" w:hAnsi="宋体" w:cs="宋体"/>
                <w:bCs/>
                <w:sz w:val="24"/>
                <w:szCs w:val="24"/>
              </w:rPr>
            </w:r>
            <w:r/>
          </w:p>
        </w:tc>
        <w:tc>
          <w:tcPr>
            <w:shd w:val="clear" w:color="000000" w:fill="auto"/>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通过图形化的方式展示企业内敏感数据的流动情况，包括敏感数据的来源、去向、趋势等；可直观展示敏感数据流出趋势、敏感数据流出TOP5、敏感数据访问量TOP5、涉敏资产统计及敏感数据流动实时监测；</w:t>
            </w:r>
            <w:r>
              <w:rPr>
                <w:rFonts w:hint="eastAsia" w:ascii="宋体" w:hAnsi="宋体" w:cs="宋体"/>
                <w:bCs/>
                <w:sz w:val="24"/>
                <w:szCs w:val="24"/>
              </w:rPr>
            </w:r>
            <w:r/>
          </w:p>
        </w:tc>
      </w:tr>
      <w:tr>
        <w:trPr>
          <w:trHeight w:val="570"/>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shd w:val="clear" w:color="000000" w:fill="auto"/>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通过图形化的方式展示企业中的风险和事件，以及他们的分布情况。包括最新风险、最新事件、事件类型分布、风险类型分布、危险趋势、资产风险等；</w:t>
            </w:r>
            <w:r>
              <w:rPr>
                <w:rFonts w:hint="eastAsia" w:ascii="宋体" w:hAnsi="宋体" w:cs="宋体"/>
                <w:bCs/>
                <w:sz w:val="24"/>
                <w:szCs w:val="24"/>
              </w:rPr>
            </w:r>
            <w:r/>
          </w:p>
        </w:tc>
      </w:tr>
      <w:tr>
        <w:trPr>
          <w:trHeight w:val="450"/>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shd w:val="clear" w:color="000000" w:fill="auto"/>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通过图形化的方式展示企业内的数据分布情况，包含敏感数据的数据源和敏感数据的维度展示数据源的分布情况、敏感数据的类型、级别、新发现的包含敏感数据的库表等；</w:t>
            </w:r>
            <w:r>
              <w:rPr>
                <w:rFonts w:hint="eastAsia" w:ascii="宋体" w:hAnsi="宋体" w:cs="宋体"/>
                <w:bCs/>
                <w:sz w:val="24"/>
                <w:szCs w:val="24"/>
              </w:rPr>
            </w:r>
            <w:r/>
          </w:p>
        </w:tc>
      </w:tr>
      <w:tr>
        <w:trPr>
          <w:trHeight w:val="450"/>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★AI赋能</w:t>
            </w:r>
            <w:r>
              <w:rPr>
                <w:rFonts w:hint="eastAsia" w:ascii="宋体" w:hAnsi="宋体" w:cs="宋体"/>
                <w:bCs/>
                <w:sz w:val="24"/>
                <w:szCs w:val="24"/>
              </w:rPr>
            </w:r>
            <w:r/>
          </w:p>
        </w:tc>
        <w:tc>
          <w:tcPr>
            <w:shd w:val="clear" w:color="000000" w:fill="auto"/>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具备智能告警研判功能，自动分析告警有效性，提供详细研判过程、判断依据及业务影响程度评估；</w:t>
            </w:r>
            <w:r>
              <w:rPr>
                <w:rFonts w:hint="eastAsia" w:ascii="宋体" w:hAnsi="宋体" w:cs="宋体"/>
                <w:bCs/>
                <w:sz w:val="24"/>
                <w:szCs w:val="24"/>
              </w:rPr>
            </w:r>
            <w:r/>
          </w:p>
        </w:tc>
      </w:tr>
      <w:tr>
        <w:trPr>
          <w:trHeight w:val="450"/>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★安全联动</w:t>
            </w:r>
            <w:r>
              <w:rPr>
                <w:rFonts w:hint="eastAsia" w:ascii="宋体" w:hAnsi="宋体" w:cs="宋体"/>
                <w:bCs/>
                <w:sz w:val="24"/>
                <w:szCs w:val="24"/>
              </w:rPr>
            </w:r>
            <w:r/>
          </w:p>
        </w:tc>
        <w:tc>
          <w:tcPr>
            <w:shd w:val="clear" w:color="000000" w:fill="auto"/>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支持市区两级系统联动（至少完成一个区级平台对接），实现区级监测数据实时共享，市级系统协同分析、跨区处置，快速响应异常告警，签订合同时提供承诺函；</w:t>
            </w:r>
            <w:r>
              <w:rPr>
                <w:rFonts w:hint="eastAsia" w:ascii="宋体" w:hAnsi="宋体" w:cs="宋体"/>
                <w:bCs/>
                <w:sz w:val="24"/>
                <w:szCs w:val="24"/>
              </w:rPr>
            </w:r>
            <w:r/>
          </w:p>
        </w:tc>
      </w:tr>
      <w:tr>
        <w:trPr>
          <w:trHeight w:val="450"/>
        </w:trPr>
        <w:tc>
          <w:tcPr>
            <w:tcW w:w="748" w:type="dxa"/>
            <w:vAlign w:val="top"/>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shd w:val="clear" w:color="000000" w:fill="auto"/>
            <w:tcW w:w="845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支持对接现网零信任系统，实现策略级联动，支持根据实时数据风险分析结果，动态调整访问控制策略，应具备对运维通道异常数据流转行为的实时监测与阻断能力，签订合同时提供承诺函。</w:t>
            </w:r>
            <w:r>
              <w:rPr>
                <w:rFonts w:hint="eastAsia" w:ascii="宋体" w:hAnsi="宋体" w:cs="宋体"/>
                <w:bCs/>
                <w:sz w:val="24"/>
                <w:szCs w:val="24"/>
              </w:rPr>
            </w:r>
            <w:r/>
          </w:p>
        </w:tc>
      </w:tr>
    </w:tbl>
    <w:p>
      <w:pPr>
        <w:pStyle w:val="869"/>
        <w:jc w:val="left"/>
        <w:rPr>
          <w:rFonts w:hint="eastAsia" w:ascii="宋体" w:hAnsi="宋体" w:cs="宋体"/>
          <w:bCs/>
          <w:sz w:val="24"/>
          <w:szCs w:val="24"/>
        </w:rPr>
      </w:pPr>
      <w:r>
        <w:rPr>
          <w:rFonts w:hint="eastAsia" w:ascii="宋体" w:hAnsi="宋体" w:cs="宋体"/>
          <w:bCs/>
          <w:sz w:val="24"/>
          <w:szCs w:val="24"/>
        </w:rPr>
      </w:r>
      <w:r/>
    </w:p>
    <w:p>
      <w:pPr>
        <w:pStyle w:val="869"/>
        <w:jc w:val="left"/>
        <w:rPr>
          <w:rFonts w:hint="eastAsia" w:ascii="宋体" w:hAnsi="宋体" w:cs="宋体"/>
          <w:bCs/>
          <w:sz w:val="24"/>
          <w:szCs w:val="24"/>
        </w:rPr>
      </w:pPr>
      <w:r>
        <w:rPr>
          <w:rFonts w:hint="eastAsia" w:ascii="宋体" w:hAnsi="宋体" w:cs="宋体"/>
          <w:bCs/>
          <w:sz w:val="24"/>
          <w:szCs w:val="24"/>
        </w:rPr>
        <w:t xml:space="preserve">2、数据流转分析子系统（公用网络区）</w:t>
      </w:r>
      <w:r>
        <w:rPr>
          <w:rFonts w:hint="eastAsia" w:ascii="宋体" w:hAnsi="宋体" w:cs="宋体"/>
          <w:bCs/>
          <w:sz w:val="24"/>
          <w:szCs w:val="24"/>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8461"/>
      </w:tblGrid>
      <w:tr>
        <w:trPr>
          <w:trHeight w:val="164"/>
        </w:trPr>
        <w:tc>
          <w:tcPr>
            <w:tcW w:w="748"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51"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402"/>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部署与性能</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支持通过流量镜像的方式实现网络流量数据采集；</w:t>
            </w:r>
            <w:r>
              <w:rPr>
                <w:rFonts w:hint="eastAsia" w:ascii="宋体" w:hAnsi="宋体" w:cs="宋体"/>
                <w:bCs/>
                <w:sz w:val="24"/>
                <w:szCs w:val="24"/>
              </w:rPr>
            </w:r>
            <w:r/>
          </w:p>
        </w:tc>
      </w:tr>
      <w:tr>
        <w:trPr>
          <w:trHeight w:val="360"/>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★配置要求</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提供硬件部署资源，具备冗余电源，国产化操作系统及CPU，千兆电口≥6，万兆光口≥2，不少于2个扩展槽；网络吞吐不低于5Gbps，硬盘不低于8T；</w:t>
            </w:r>
            <w:r>
              <w:rPr>
                <w:rFonts w:hint="eastAsia" w:ascii="宋体" w:hAnsi="宋体" w:cs="宋体"/>
                <w:bCs/>
                <w:sz w:val="24"/>
                <w:szCs w:val="24"/>
              </w:rPr>
            </w:r>
            <w:r/>
          </w:p>
        </w:tc>
      </w:tr>
      <w:tr>
        <w:trPr>
          <w:trHeight w:val="668"/>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流量解析</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支持针对结构化数据/非结构化数据/半结构化数据的检测分析，如文件类型检测、文件内容提取及分析、JSON/XML内容提取及分析等；</w:t>
            </w:r>
            <w:r>
              <w:rPr>
                <w:rFonts w:hint="eastAsia" w:ascii="宋体" w:hAnsi="宋体" w:cs="宋体"/>
                <w:bCs/>
                <w:sz w:val="24"/>
                <w:szCs w:val="24"/>
              </w:rPr>
            </w:r>
            <w:r/>
          </w:p>
        </w:tc>
      </w:tr>
      <w:tr>
        <w:trPr>
          <w:trHeight w:val="402"/>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流量采集</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支持IPV4及IPV6流量的采集与处理；</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top"/>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支持以web应用、数据库、其他应用等不同应用类型分别展现数据流转的风险，展现内容包括应用名称、风险名称、风险等级，首次发现时间，最新发现时间等；</w:t>
            </w:r>
            <w:r>
              <w:rPr>
                <w:rFonts w:hint="eastAsia" w:ascii="宋体" w:hAnsi="宋体" w:cs="宋体"/>
                <w:bCs/>
                <w:sz w:val="24"/>
                <w:szCs w:val="24"/>
              </w:rPr>
            </w:r>
            <w:r/>
          </w:p>
        </w:tc>
      </w:tr>
      <w:tr>
        <w:trPr>
          <w:trHeight w:val="402"/>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协议还原</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支持0racle、MySQL、MSSQL、DB2、人大金仓、达梦等数据库行为的解析；</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支持如ftp、smb、ssh、pop3、smtp的登录动作解析；</w:t>
            </w:r>
            <w:r>
              <w:rPr>
                <w:rFonts w:hint="eastAsia" w:ascii="宋体" w:hAnsi="宋体" w:cs="宋体"/>
                <w:bCs/>
                <w:sz w:val="24"/>
                <w:szCs w:val="24"/>
              </w:rPr>
            </w:r>
            <w:r/>
          </w:p>
        </w:tc>
      </w:tr>
      <w:tr>
        <w:trPr>
          <w:trHeight w:val="402"/>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敏感数据检测</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支持结构化敏感数据检测分析，包含postgresql、mysql、opengauss、db2、人大金仓数据库、达梦等数据库等；</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支持非结构化敏感数据检测分析，包含doc、docx、xls、xlsx、ppt、pptx、pdf等；</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支持自定义敏感数据检测规则，定义规则内容包括类型、敏感程度、匹配条件等字段，规则类型需支持正则和关键字两种方式，</w:t>
            </w:r>
            <w:r>
              <w:rPr>
                <w:rFonts w:hint="eastAsia" w:ascii="宋体" w:hAnsi="宋体" w:cs="宋体"/>
                <w:sz w:val="24"/>
                <w:szCs w:val="24"/>
              </w:rPr>
              <w:t xml:space="preserve">提供产品功能截图证明材料</w:t>
            </w:r>
            <w:r>
              <w:rPr>
                <w:rFonts w:hint="eastAsia" w:ascii="宋体" w:hAnsi="宋体" w:cs="宋体"/>
                <w:bCs/>
                <w:sz w:val="24"/>
                <w:szCs w:val="24"/>
              </w:rPr>
              <w:t xml:space="preserve">；</w:t>
            </w:r>
            <w:r>
              <w:rPr>
                <w:rFonts w:hint="eastAsia" w:ascii="宋体" w:hAnsi="宋体" w:cs="宋体"/>
                <w:bCs/>
                <w:sz w:val="24"/>
                <w:szCs w:val="24"/>
              </w:rPr>
            </w:r>
            <w:r/>
          </w:p>
        </w:tc>
      </w:tr>
      <w:tr>
        <w:trPr>
          <w:trHeight w:val="402"/>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SSL旁路解密</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支持部分基于SSL协议的HTTPS流量进行解密，可添加基于源目的地址及端口的过滤条件；</w:t>
            </w:r>
            <w:r>
              <w:rPr>
                <w:rFonts w:hint="eastAsia" w:ascii="宋体" w:hAnsi="宋体" w:cs="宋体"/>
                <w:bCs/>
                <w:sz w:val="24"/>
                <w:szCs w:val="24"/>
              </w:rPr>
            </w:r>
            <w:r/>
          </w:p>
        </w:tc>
      </w:tr>
      <w:tr>
        <w:trPr>
          <w:trHeight w:val="402"/>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★安全联动</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能够与数据安全态势分析系统配置对接，支持数据外发能力，签订合同时提供承诺函。</w:t>
            </w:r>
            <w:r>
              <w:rPr>
                <w:rFonts w:hint="eastAsia" w:ascii="宋体" w:hAnsi="宋体" w:cs="宋体"/>
                <w:bCs/>
                <w:sz w:val="24"/>
                <w:szCs w:val="24"/>
              </w:rPr>
            </w:r>
            <w:r/>
          </w:p>
        </w:tc>
      </w:tr>
    </w:tbl>
    <w:p>
      <w:pPr>
        <w:pStyle w:val="869"/>
        <w:jc w:val="left"/>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3、数据流转分析子系统（互联网区）</w:t>
      </w:r>
      <w:r>
        <w:rPr>
          <w:rFonts w:hint="eastAsia" w:ascii="宋体" w:hAnsi="宋体" w:cs="宋体"/>
          <w:bCs/>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8463"/>
      </w:tblGrid>
      <w:tr>
        <w:trPr>
          <w:trHeight w:val="164"/>
        </w:trPr>
        <w:tc>
          <w:tcPr>
            <w:tcW w:w="748" w:type="dxa"/>
            <w:vAlign w:val="center"/>
            <w:textDirection w:val="lrTb"/>
            <w:noWrap w:val="false"/>
          </w:tcPr>
          <w:p>
            <w:pPr>
              <w:pStyle w:val="869"/>
              <w:jc w:val="center"/>
              <w:widowControl/>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51" w:type="dxa"/>
            <w:vAlign w:val="center"/>
            <w:textDirection w:val="lrTb"/>
            <w:noWrap w:val="false"/>
          </w:tcPr>
          <w:p>
            <w:pPr>
              <w:pStyle w:val="869"/>
              <w:jc w:val="center"/>
              <w:widowControl/>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402"/>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部署与性能</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支持通过流量镜像的方式实现网络流量数据采集；</w:t>
            </w:r>
            <w:r>
              <w:rPr>
                <w:rFonts w:hint="eastAsia" w:ascii="宋体" w:hAnsi="宋体" w:cs="宋体"/>
                <w:bCs/>
                <w:sz w:val="24"/>
                <w:szCs w:val="24"/>
              </w:rPr>
            </w:r>
            <w:r/>
          </w:p>
        </w:tc>
      </w:tr>
      <w:tr>
        <w:trPr>
          <w:trHeight w:val="360"/>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★配置要求</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提供硬件部署资源，具备冗余电源，国产化操作系统及CPU，千兆电口≥6，万兆光口≥2，不少于2个扩展槽；网络吞吐不低于10Gbps，硬盘不低于8T；</w:t>
            </w:r>
            <w:r>
              <w:rPr>
                <w:rFonts w:hint="eastAsia" w:ascii="宋体" w:hAnsi="宋体" w:cs="宋体"/>
                <w:bCs/>
                <w:sz w:val="24"/>
                <w:szCs w:val="24"/>
              </w:rPr>
            </w:r>
            <w:r/>
          </w:p>
        </w:tc>
      </w:tr>
      <w:tr>
        <w:trPr>
          <w:trHeight w:val="90"/>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流量解析</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支持针对结构化数据/非结构化数据/半结构化数据的检测分析，如文件类型检测、文件内容提取及分析、JSON/XML内容提取及分析等；</w:t>
            </w:r>
            <w:r>
              <w:rPr>
                <w:rFonts w:hint="eastAsia" w:ascii="宋体" w:hAnsi="宋体" w:cs="宋体"/>
                <w:bCs/>
                <w:sz w:val="24"/>
                <w:szCs w:val="24"/>
              </w:rPr>
            </w:r>
            <w:r/>
          </w:p>
        </w:tc>
      </w:tr>
      <w:tr>
        <w:trPr>
          <w:trHeight w:val="402"/>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流量采集</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支持IPV4及IPV6流量的采集与处理；</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top"/>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支持以web应用、数据库、其他应用等不同应用类型分别展现数据流转的风险，展现内容包括应用名称、风险名称、风险等级，首次发现时间，最新发现时间等；</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top"/>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支持以受害者维度展现数据窃取风险，展现内容包括受害者、风险名称、风险等级，首次发现时间，最新发现时间等；</w:t>
            </w:r>
            <w:r>
              <w:rPr>
                <w:rFonts w:hint="eastAsia" w:ascii="宋体" w:hAnsi="宋体" w:cs="宋体"/>
                <w:bCs/>
                <w:sz w:val="24"/>
                <w:szCs w:val="24"/>
              </w:rPr>
            </w:r>
            <w:r/>
          </w:p>
        </w:tc>
      </w:tr>
      <w:tr>
        <w:trPr>
          <w:trHeight w:val="402"/>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协议还原</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支持0racle、MySQL、MSSQL、DB2、人大金仓、达梦等数据库行为的解析；</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支持如ftp、smb、ssh、pop3、smtp的登录动作解析；</w:t>
            </w:r>
            <w:r>
              <w:rPr>
                <w:rFonts w:hint="eastAsia" w:ascii="宋体" w:hAnsi="宋体" w:cs="宋体"/>
                <w:bCs/>
                <w:sz w:val="24"/>
                <w:szCs w:val="24"/>
              </w:rPr>
            </w:r>
            <w:r/>
          </w:p>
        </w:tc>
      </w:tr>
      <w:tr>
        <w:trPr>
          <w:trHeight w:val="402"/>
        </w:trPr>
        <w:tc>
          <w:tcPr>
            <w:tcW w:w="748"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敏感数据检测</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支持结构化敏感数据检测分析，包含postgresql、mysql、opengauss、db2、人大金仓数据库、达梦等数据库等，</w:t>
            </w:r>
            <w:r>
              <w:rPr>
                <w:rFonts w:hint="eastAsia" w:ascii="宋体" w:hAnsi="宋体" w:cs="宋体"/>
                <w:sz w:val="24"/>
                <w:szCs w:val="24"/>
              </w:rPr>
              <w:t xml:space="preserve">提供产品功能截图证明材料</w:t>
            </w:r>
            <w:r>
              <w:rPr>
                <w:rFonts w:hint="eastAsia" w:ascii="宋体" w:hAnsi="宋体" w:cs="宋体"/>
                <w:bCs/>
                <w:sz w:val="24"/>
                <w:szCs w:val="24"/>
              </w:rPr>
              <w:t xml:space="preserve">；</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支持非结构化敏感数据检测分析，包含doc、docx、xls、xlsx、ppt、pptx、pdf等；</w:t>
            </w:r>
            <w:r>
              <w:rPr>
                <w:rFonts w:hint="eastAsia" w:ascii="宋体" w:hAnsi="宋体" w:cs="宋体"/>
                <w:bCs/>
                <w:sz w:val="24"/>
                <w:szCs w:val="24"/>
              </w:rPr>
            </w:r>
            <w:r/>
          </w:p>
        </w:tc>
      </w:tr>
      <w:tr>
        <w:trPr>
          <w:trHeight w:val="402"/>
        </w:trPr>
        <w:tc>
          <w:tcPr>
            <w:tcW w:w="748"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支持自定义敏感数据检测规则，定义规则内容包括类型、敏感程度、匹配条件等字段，规则类型需支持正则和关键字两种方式；</w:t>
            </w:r>
            <w:r>
              <w:rPr>
                <w:rFonts w:hint="eastAsia" w:ascii="宋体" w:hAnsi="宋体" w:cs="宋体"/>
                <w:bCs/>
                <w:sz w:val="24"/>
                <w:szCs w:val="24"/>
              </w:rPr>
            </w:r>
            <w:r/>
          </w:p>
        </w:tc>
      </w:tr>
      <w:tr>
        <w:trPr>
          <w:trHeight w:val="402"/>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SSL旁路解密</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支持部分基于SSL协议的HTTPS流量进行解密，可添加基于源目的地址及端口的过滤条件；</w:t>
            </w:r>
            <w:r>
              <w:rPr>
                <w:rFonts w:hint="eastAsia" w:ascii="宋体" w:hAnsi="宋体" w:cs="宋体"/>
                <w:bCs/>
                <w:sz w:val="24"/>
                <w:szCs w:val="24"/>
              </w:rPr>
            </w:r>
            <w:r/>
          </w:p>
        </w:tc>
      </w:tr>
      <w:tr>
        <w:trPr>
          <w:trHeight w:val="402"/>
        </w:trPr>
        <w:tc>
          <w:tcPr>
            <w:tcW w:w="748"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★安全联动</w:t>
            </w:r>
            <w:r>
              <w:rPr>
                <w:rFonts w:hint="eastAsia" w:ascii="宋体" w:hAnsi="宋体" w:cs="宋体"/>
                <w:bCs/>
                <w:sz w:val="24"/>
                <w:szCs w:val="24"/>
              </w:rPr>
            </w:r>
            <w:r/>
          </w:p>
        </w:tc>
        <w:tc>
          <w:tcPr>
            <w:tcW w:w="4251"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能够与数据安全态势分析系统配置对接，支持数据外发能力，签订合同时提供承诺函。</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4、数据接口检测子系统</w:t>
      </w:r>
      <w:r>
        <w:rPr>
          <w:rFonts w:hint="eastAsia" w:ascii="宋体" w:hAnsi="宋体" w:cs="宋体"/>
          <w:bCs/>
          <w:sz w:val="24"/>
          <w:szCs w:val="24"/>
        </w:rPr>
      </w:r>
      <w:r/>
    </w:p>
    <w:tbl>
      <w:tblPr>
        <w:tblW w:w="4990" w:type="pct"/>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489"/>
        <w:gridCol w:w="8453"/>
      </w:tblGrid>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90"/>
        </w:trPr>
        <w:tc>
          <w:tcPr>
            <w:tcBorders>
              <w:top w:val="none" w:color="000000" w:sz="4" w:space="0"/>
              <w:left w:val="single" w:color="000000" w:sz="4" w:space="0"/>
              <w:bottom w:val="none" w:color="000000" w:sz="0" w:space="0"/>
              <w:right w:val="single" w:color="000000" w:sz="4" w:space="0"/>
            </w:tcBorders>
            <w:tcW w:w="749" w:type="dxa"/>
            <w:vAlign w:val="center"/>
            <w:textDirection w:val="lrTb"/>
            <w:noWrap/>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部署与性能</w:t>
            </w:r>
            <w:r>
              <w:rPr>
                <w:rFonts w:hint="eastAsia"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支持虚拟化集群部署，集群规模不少于3台；系统处理能力不低于2.4万EPS；具备横向扩展能力，可根据后期业务发展需求，灵活提升平台流量处理性能与日志存储容量；</w:t>
            </w:r>
            <w:r>
              <w:rPr>
                <w:rFonts w:hint="eastAsia" w:ascii="宋体" w:hAnsi="宋体" w:cs="宋体"/>
                <w:bCs/>
                <w:sz w:val="24"/>
                <w:szCs w:val="24"/>
              </w:rPr>
            </w:r>
            <w:r/>
          </w:p>
        </w:tc>
      </w:tr>
      <w:tr>
        <w:trPr>
          <w:trHeight w:val="390"/>
        </w:trPr>
        <w:tc>
          <w:tcPr>
            <w:tcBorders>
              <w:top w:val="single" w:color="000000" w:sz="4" w:space="0"/>
              <w:left w:val="single" w:color="000000" w:sz="4" w:space="0"/>
              <w:bottom w:val="none" w:color="000000" w:sz="4" w:space="0"/>
              <w:right w:val="single" w:color="000000" w:sz="4" w:space="0"/>
            </w:tcBorders>
            <w:tcW w:w="749" w:type="dxa"/>
            <w:vAlign w:val="center"/>
            <w:vMerge w:val="restart"/>
            <w:textDirection w:val="lrTb"/>
            <w:noWrap/>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API资产管理</w:t>
            </w:r>
            <w:r>
              <w:rPr>
                <w:rFonts w:hint="eastAsia"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支持通过API发现功能，自动将API按照域名进行分组管理；</w:t>
            </w:r>
            <w:r>
              <w:rPr>
                <w:rFonts w:hint="eastAsia" w:ascii="宋体" w:hAnsi="宋体" w:cs="宋体"/>
                <w:bCs/>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支持API资产生命周期管理，包括活跃、失活、复活、僵尸、已下线等API资产状态、统计、详情展示，</w:t>
            </w:r>
            <w:r>
              <w:rPr>
                <w:rFonts w:hint="eastAsia" w:ascii="宋体" w:hAnsi="宋体" w:cs="宋体"/>
                <w:sz w:val="24"/>
                <w:szCs w:val="24"/>
              </w:rPr>
              <w:t xml:space="preserve">提供产品功能截图证明材料</w:t>
            </w:r>
            <w:r>
              <w:rPr>
                <w:rFonts w:hint="eastAsia" w:ascii="宋体" w:hAnsi="宋体" w:cs="宋体"/>
                <w:bCs/>
                <w:sz w:val="24"/>
                <w:szCs w:val="24"/>
              </w:rPr>
              <w:t xml:space="preserve">；</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API安全分析</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支持针对API接口的请求速率、请求总数、响应总数、出错速率、错误总数等进行统计；</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支持对API的多项关键指标进行实时监控与分析，包括请求/响应大小、响应时延、请求速率、出错率及吞吐量。通过将实时数据与学习生成的基线模型进行智能比对，一旦发现异常偏离，系统将立即触发告警；</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支持API异常行为发现能力，包括但不限于API高频访问、账号登录异常、异常时间访问、敏感数据批量爬取、接口参数遍历等；</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威胁事件分析模型包括溢出攻击、跨站脚本攻击、SQL注入攻击、代码执行攻击、配置不当基于API视角查看威胁事/错误、登录接口撞库攻击等；</w:t>
            </w:r>
            <w:r>
              <w:rPr>
                <w:rFonts w:hint="eastAsia" w:ascii="宋体" w:hAnsi="宋体" w:cs="宋体"/>
                <w:bCs/>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件，威胁事件列表包括API、事件类别、事件名称、事件等级、事件结果、业务应用、处置状态、首次发现时间、最后发现时间等；</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风险API分析</w:t>
            </w:r>
            <w:r>
              <w:rPr>
                <w:rFonts w:hint="eastAsia" w:ascii="宋体" w:hAnsi="宋体" w:cs="宋体"/>
                <w:bCs/>
                <w:sz w:val="24"/>
                <w:szCs w:val="24"/>
              </w:rPr>
            </w:r>
            <w:r/>
          </w:p>
        </w:tc>
        <w:tc>
          <w:tcPr>
            <w:tcBorders>
              <w:top w:val="singl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支持发现风险API，风险API发现的维度包括但不限于脆弱性、敏感数据传输、异常行为、威胁事件等；</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风险API列表包括但不限于HOST、PATH、业务应用、数据标签、风险类型、风险等级、处置状态、告警数、访问次数等，支持导出等操作；</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日志审计</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支持对API访问的日志进行分类，包括威胁告警日志、涉敏访问日志、脆弱性日志、业务访问日志、业务登录日志、文件传输日志；</w:t>
            </w:r>
            <w:r>
              <w:rPr>
                <w:rFonts w:hint="eastAsia" w:ascii="宋体" w:hAnsi="宋体" w:cs="宋体"/>
                <w:bCs/>
                <w:sz w:val="24"/>
                <w:szCs w:val="24"/>
              </w:rPr>
            </w:r>
            <w:r/>
          </w:p>
        </w:tc>
      </w:tr>
      <w:tr>
        <w:trPr>
          <w:trHeight w:val="781"/>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分析报表</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支持自定义时间周期，将API资产分析、脆弱性分析、敏感数据传输事件分析、威胁事件分析的结果以报表形式导出，以报表的形式汇报和总结当前API安全情况以及风险分析；</w:t>
            </w:r>
            <w:r>
              <w:rPr>
                <w:rFonts w:hint="eastAsia" w:ascii="宋体" w:hAnsi="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★联动要求</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能够对接现网API探针设备，接受上送数据并分析处理，签订合同时提供承诺函；</w:t>
            </w:r>
            <w:r>
              <w:rPr>
                <w:rFonts w:hint="eastAsia" w:ascii="宋体" w:hAnsi="宋体" w:cs="宋体"/>
                <w:bCs/>
                <w:sz w:val="24"/>
                <w:szCs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49" w:type="dxa"/>
            <w:vAlign w:val="top"/>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能够与数据安全态势分析系统配置对接，支持数据外发能力，签订合同时提供承诺函。</w:t>
            </w:r>
            <w:r>
              <w:rPr>
                <w:rFonts w:hint="eastAsia" w:ascii="宋体" w:hAnsi="宋体" w:cs="宋体"/>
                <w:bCs/>
                <w:sz w:val="24"/>
                <w:szCs w:val="24"/>
              </w:rPr>
            </w:r>
            <w:r/>
          </w:p>
        </w:tc>
      </w:tr>
    </w:tbl>
    <w:p>
      <w:pPr>
        <w:pStyle w:val="869"/>
        <w:jc w:val="left"/>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5、数据库运维管理子系统</w:t>
      </w:r>
      <w:r>
        <w:rPr>
          <w:rFonts w:hint="eastAsia" w:ascii="宋体" w:hAnsi="宋体" w:cs="宋体"/>
          <w:bCs/>
          <w:sz w:val="24"/>
          <w:szCs w:val="24"/>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8383"/>
      </w:tblGrid>
      <w:tr>
        <w:trPr/>
        <w:tc>
          <w:tcPr>
            <w:tcW w:w="1545"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838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146"/>
        </w:trPr>
        <w:tc>
          <w:tcPr>
            <w:tcW w:w="1545"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部署与性能</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系统支持虚拟机、云平台环境部署，支持国产系统银河麒麟；</w:t>
            </w:r>
            <w:r>
              <w:rPr>
                <w:rFonts w:hint="eastAsia" w:ascii="宋体" w:hAnsi="宋体" w:cs="宋体"/>
                <w:bCs/>
                <w:sz w:val="24"/>
                <w:szCs w:val="24"/>
              </w:rPr>
            </w:r>
            <w:r/>
          </w:p>
        </w:tc>
      </w:tr>
      <w:tr>
        <w:trPr>
          <w:trHeight w:val="110"/>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★提供硬件部署资源，具备冗余电源，国产化操作系统及CPU，内存不少于256GB；网卡：千兆电口≥2个、万兆光口≥2个；存储：8TB SATA≥3，480GB SSD≥1；</w:t>
            </w:r>
            <w:r>
              <w:rPr>
                <w:rFonts w:hint="eastAsia" w:ascii="宋体" w:hAnsi="宋体" w:cs="宋体"/>
                <w:bCs/>
                <w:sz w:val="24"/>
                <w:szCs w:val="24"/>
              </w:rPr>
            </w:r>
            <w:r/>
          </w:p>
        </w:tc>
      </w:tr>
      <w:tr>
        <w:trPr>
          <w:trHeight w:val="292"/>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提供不少于数据库运维授权30个，支持连接数不少于4000；</w:t>
            </w:r>
            <w:r>
              <w:rPr>
                <w:rFonts w:hint="eastAsia" w:ascii="宋体" w:hAnsi="宋体" w:cs="宋体"/>
                <w:bCs/>
                <w:sz w:val="24"/>
                <w:szCs w:val="24"/>
              </w:rPr>
            </w:r>
            <w:r/>
          </w:p>
        </w:tc>
      </w:tr>
      <w:tr>
        <w:trPr>
          <w:trHeight w:val="292"/>
        </w:trPr>
        <w:tc>
          <w:tcPr>
            <w:tcW w:w="15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数据源管理</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支持多种数据库类型，包括但不限于：Mysql、Oracle、SQLServer、PostgresQL、DB2、Vertica、Hive、GBase8a、GaussDB等；</w:t>
            </w:r>
            <w:r>
              <w:rPr>
                <w:rFonts w:hint="eastAsia" w:ascii="宋体" w:hAnsi="宋体" w:cs="宋体"/>
                <w:bCs/>
                <w:sz w:val="24"/>
                <w:szCs w:val="24"/>
              </w:rPr>
            </w:r>
            <w:r/>
          </w:p>
        </w:tc>
      </w:tr>
      <w:tr>
        <w:trPr/>
        <w:tc>
          <w:tcPr>
            <w:tcW w:w="1545"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脱敏规则</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支持字段级别的脱敏；提供多种敏感内容的脱敏规则，如：邮箱地址、身份证号、手机号码、账号用户名、关键字等；</w:t>
            </w:r>
            <w:r>
              <w:rPr>
                <w:rFonts w:hint="eastAsia" w:ascii="宋体" w:hAnsi="宋体" w:cs="宋体"/>
                <w:bCs/>
                <w:sz w:val="24"/>
                <w:szCs w:val="24"/>
              </w:rPr>
            </w:r>
            <w:r/>
          </w:p>
        </w:tc>
      </w:tr>
      <w:tr>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支持多种脱敏算法，类型包括但不限于：加密脱敏、字符掩盖脱敏、删除脱敏、HASH脱敏、随机脱敏、同义词脱敏、可逆脱敏、替换脱敏；</w:t>
            </w:r>
            <w:r>
              <w:rPr>
                <w:rFonts w:hint="eastAsia" w:ascii="宋体" w:hAnsi="宋体" w:cs="宋体"/>
                <w:bCs/>
                <w:sz w:val="24"/>
                <w:szCs w:val="24"/>
              </w:rPr>
            </w:r>
            <w:r/>
          </w:p>
        </w:tc>
      </w:tr>
      <w:tr>
        <w:trPr/>
        <w:tc>
          <w:tcPr>
            <w:tcW w:w="1545"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数据安全虚拟防护</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虚拟实例：支持隐藏真实数据库信息，对外发布虚拟实例信息，签订合同时</w:t>
            </w:r>
            <w:r>
              <w:rPr>
                <w:rFonts w:hint="eastAsia" w:ascii="宋体" w:hAnsi="宋体" w:cs="宋体"/>
                <w:sz w:val="24"/>
                <w:szCs w:val="24"/>
              </w:rPr>
              <w:t xml:space="preserve">提供产品功能截图证明材料</w:t>
            </w:r>
            <w:r>
              <w:rPr>
                <w:rFonts w:hint="eastAsia" w:ascii="宋体" w:hAnsi="宋体" w:cs="宋体"/>
                <w:bCs/>
                <w:sz w:val="24"/>
                <w:szCs w:val="24"/>
              </w:rPr>
              <w:t xml:space="preserve">；</w:t>
            </w:r>
            <w:r>
              <w:rPr>
                <w:rFonts w:hint="eastAsia" w:ascii="宋体" w:hAnsi="宋体" w:cs="宋体"/>
                <w:bCs/>
                <w:sz w:val="24"/>
                <w:szCs w:val="24"/>
              </w:rPr>
            </w:r>
            <w:r/>
          </w:p>
        </w:tc>
      </w:tr>
      <w:tr>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虚拟身份：配合虚拟实例使用，该身份口令为虚拟身份在真实数据库中不存在，从而保护真实数据库安全，防止泄露带来的风险，签订合同时</w:t>
            </w:r>
            <w:r>
              <w:rPr>
                <w:rFonts w:hint="eastAsia" w:ascii="宋体" w:hAnsi="宋体" w:cs="宋体"/>
                <w:sz w:val="24"/>
                <w:szCs w:val="24"/>
              </w:rPr>
              <w:t xml:space="preserve">提供产品功能截图证明材料</w:t>
            </w:r>
            <w:r>
              <w:rPr>
                <w:rFonts w:hint="eastAsia" w:ascii="宋体" w:hAnsi="宋体" w:cs="宋体"/>
                <w:bCs/>
                <w:sz w:val="24"/>
                <w:szCs w:val="24"/>
              </w:rPr>
              <w:t xml:space="preserve">；</w:t>
            </w:r>
            <w:r>
              <w:rPr>
                <w:rFonts w:hint="eastAsia" w:ascii="宋体" w:hAnsi="宋体" w:cs="宋体"/>
                <w:bCs/>
                <w:sz w:val="24"/>
                <w:szCs w:val="24"/>
              </w:rPr>
            </w:r>
            <w:r/>
          </w:p>
        </w:tc>
      </w:tr>
      <w:tr>
        <w:trPr/>
        <w:tc>
          <w:tcPr>
            <w:tcW w:w="15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黑白名单管理</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支持针对系统用户和虚拟实例进行黑白名单管理，限制方式包括：IP地址、时间；</w:t>
            </w:r>
            <w:r>
              <w:rPr>
                <w:rFonts w:hint="eastAsia" w:ascii="宋体" w:hAnsi="宋体" w:cs="宋体"/>
                <w:bCs/>
                <w:sz w:val="24"/>
                <w:szCs w:val="24"/>
              </w:rPr>
            </w:r>
            <w:r/>
          </w:p>
        </w:tc>
      </w:tr>
      <w:tr>
        <w:trPr/>
        <w:tc>
          <w:tcPr>
            <w:tcW w:w="1545"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安全策略</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支持自定义安全规则，规则包含：执行动作、条件类型、操作类型、可自定义值等；</w:t>
            </w:r>
            <w:r>
              <w:rPr>
                <w:rFonts w:hint="eastAsia" w:ascii="宋体" w:hAnsi="宋体" w:cs="宋体"/>
                <w:bCs/>
                <w:sz w:val="24"/>
                <w:szCs w:val="24"/>
              </w:rPr>
            </w:r>
            <w:r/>
          </w:p>
        </w:tc>
      </w:tr>
      <w:tr>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支持SQL访问频次控制，防止撞库和CC攻击，风险SQL告警及阻断；</w:t>
            </w:r>
            <w:r>
              <w:rPr>
                <w:rFonts w:hint="eastAsia" w:ascii="宋体" w:hAnsi="宋体" w:cs="宋体"/>
                <w:bCs/>
                <w:sz w:val="24"/>
                <w:szCs w:val="24"/>
              </w:rPr>
            </w:r>
            <w:r/>
          </w:p>
        </w:tc>
      </w:tr>
      <w:tr>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支持防误删、防误改（UPDATE/DELETE），支持针对库级别和表级别无where的UPDATEA/DELETE的阻断；</w:t>
            </w:r>
            <w:r>
              <w:rPr>
                <w:rFonts w:hint="eastAsia" w:ascii="宋体" w:hAnsi="宋体" w:cs="宋体"/>
                <w:bCs/>
                <w:sz w:val="24"/>
                <w:szCs w:val="24"/>
              </w:rPr>
            </w:r>
            <w:r/>
          </w:p>
        </w:tc>
      </w:tr>
      <w:tr>
        <w:trPr/>
        <w:tc>
          <w:tcPr>
            <w:tcW w:w="1545"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支持表级别的SELECT、UPDATE、DELETE的行数控制；</w:t>
            </w:r>
            <w:r>
              <w:rPr>
                <w:rFonts w:hint="eastAsia" w:ascii="宋体" w:hAnsi="宋体" w:cs="宋体"/>
                <w:bCs/>
                <w:sz w:val="24"/>
                <w:szCs w:val="24"/>
              </w:rPr>
            </w:r>
            <w:r/>
          </w:p>
        </w:tc>
      </w:tr>
      <w:tr>
        <w:trPr/>
        <w:tc>
          <w:tcPr>
            <w:tcW w:w="15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操作审计</w:t>
            </w:r>
            <w:r>
              <w:rPr>
                <w:rFonts w:hint="eastAsia" w:ascii="宋体" w:hAnsi="宋体" w:cs="宋体"/>
                <w:bCs/>
                <w:sz w:val="24"/>
                <w:szCs w:val="24"/>
              </w:rPr>
            </w:r>
            <w:r/>
          </w:p>
        </w:tc>
        <w:tc>
          <w:tcPr>
            <w:tcW w:w="838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支持系统操作人员的所有操作行为进行审计记录，记录维度包括：操作信息、账号、浏览器信息、IP、请求位置、耗时、时间、请求参数、请求方法、异常报错详情等。</w:t>
            </w:r>
            <w:r>
              <w:rPr>
                <w:rFonts w:hint="eastAsia" w:ascii="宋体" w:hAnsi="宋体" w:cs="宋体"/>
                <w:bCs/>
                <w:sz w:val="24"/>
                <w:szCs w:val="24"/>
              </w:rPr>
            </w:r>
            <w:r/>
          </w:p>
        </w:tc>
      </w:tr>
    </w:tbl>
    <w:p>
      <w:pPr>
        <w:pStyle w:val="869"/>
        <w:jc w:val="left"/>
        <w:rPr>
          <w:rFonts w:ascii="宋体" w:hAnsi="宋体" w:cs="宋体"/>
          <w:bCs/>
          <w:sz w:val="24"/>
          <w:szCs w:val="24"/>
        </w:rPr>
      </w:pPr>
      <w:r>
        <w:rPr>
          <w:rFonts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6、门禁管理系统</w:t>
      </w:r>
      <w:r>
        <w:rPr>
          <w:rFonts w:hint="eastAsia" w:ascii="宋体" w:hAnsi="宋体" w:cs="宋体"/>
          <w:bCs/>
          <w:sz w:val="24"/>
          <w:szCs w:val="24"/>
        </w:rPr>
      </w:r>
      <w:r/>
    </w:p>
    <w:tbl>
      <w:tblPr>
        <w:tblW w:w="4995" w:type="pct"/>
        <w:tblInd w:w="-108" w:type="dxa"/>
        <w:tblLayout w:type="autofit"/>
        <w:tblCellMar>
          <w:left w:w="108" w:type="dxa"/>
          <w:top w:w="0" w:type="dxa"/>
          <w:right w:w="108" w:type="dxa"/>
          <w:bottom w:w="0" w:type="dxa"/>
        </w:tblCellMar>
        <w:tblLook w:val="04A0" w:firstRow="1" w:lastRow="0" w:firstColumn="1" w:lastColumn="0" w:noHBand="0" w:noVBand="1"/>
      </w:tblPr>
      <w:tblGrid>
        <w:gridCol w:w="1605"/>
        <w:gridCol w:w="8347"/>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安全合规</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系统符合GM/T 0036标准要求，具备门禁系统类商用密码产品认证证书，签订合同时提供有效期内证书；</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产品构成</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具备独立分开的门禁管理、日志审计和密钥管理平台软件；</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配置要求</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提供硬件部署资源，具备冗余电源，国产化操作系统及CPU，提供不少于512G 系统盘和4T数据盘，不少于1个千兆网口，不少于1个管理口，支持扩展PCI-E*16 插槽；</w:t>
            </w:r>
            <w:r>
              <w:rPr>
                <w:rFonts w:hint="eastAsia" w:ascii="宋体" w:hAnsi="宋体" w:cs="宋体"/>
                <w:bCs/>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门禁管理</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支持人员管理、设备管理、门禁管理、权限配置、实时查看、日志查询、反潜、互锁、多卡开门、远程开关门、电子地图、输入输出报警联动等通用门禁管理功能；</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完整性保护</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支持采用国密算法对门禁事件（开/关门）进行完整性保护；</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数据同步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支持从门禁控制器获取日志、人员、门禁等信息，支持向门禁控制器同步权限、配置等信息；</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日志查询</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支持日志记录查询，支持按时间、人员编号、姓名、卡号、设备、门、验证方式、出入状态、事件类型查询。</w:t>
            </w:r>
            <w:r>
              <w:rPr>
                <w:rFonts w:hint="eastAsia" w:ascii="宋体" w:hAnsi="宋体" w:cs="宋体"/>
                <w:bCs/>
                <w:sz w:val="24"/>
                <w:szCs w:val="24"/>
              </w:rPr>
            </w:r>
            <w:r/>
          </w:p>
        </w:tc>
      </w:tr>
    </w:tbl>
    <w:p>
      <w:pPr>
        <w:pStyle w:val="869"/>
        <w:jc w:val="left"/>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7、门禁控制器（双门）</w:t>
      </w:r>
      <w:r>
        <w:rPr>
          <w:rFonts w:hint="eastAsia" w:ascii="宋体" w:hAnsi="宋体" w:cs="宋体"/>
          <w:bCs/>
          <w:sz w:val="24"/>
          <w:szCs w:val="24"/>
        </w:rPr>
      </w:r>
      <w:r/>
    </w:p>
    <w:tbl>
      <w:tblPr>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1604"/>
        <w:gridCol w:w="8346"/>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管控门数</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双门双向；</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高级门禁功能</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支持组合认证、多重认证、多门互锁功能、首卡常开功能、首开授权功能、超级密码开门功能等门禁功能。</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8、指纹/人脸识别型读卡器</w:t>
      </w:r>
      <w:r>
        <w:rPr>
          <w:rFonts w:hint="eastAsia" w:ascii="宋体" w:hAnsi="宋体" w:cs="宋体"/>
          <w:bCs/>
          <w:sz w:val="24"/>
          <w:szCs w:val="24"/>
        </w:rPr>
      </w:r>
      <w:r/>
    </w:p>
    <w:tbl>
      <w:tblPr>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1604"/>
        <w:gridCol w:w="8346"/>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身份鉴别</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采用基于国密算法实现门禁用户身份鉴别；</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认证方式</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支持卡、卡+密码、卡+指纹/人脸等多种身份认证方式；</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按键类型</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带门铃实体按键。</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9、按键型读卡器</w:t>
      </w:r>
      <w:r>
        <w:rPr>
          <w:rFonts w:hint="eastAsia" w:ascii="宋体" w:hAnsi="宋体" w:cs="宋体"/>
          <w:bCs/>
          <w:sz w:val="24"/>
          <w:szCs w:val="24"/>
        </w:rPr>
      </w:r>
      <w:r/>
    </w:p>
    <w:tbl>
      <w:tblPr>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1604"/>
        <w:gridCol w:w="8346"/>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身份鉴别</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采用基于国密算法实现门禁用户身份鉴别；</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认证方式</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支持卡、卡+密码等多种身份认证方式；</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按键类型</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触摸按键。</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10、门禁发卡器</w:t>
      </w:r>
      <w:r>
        <w:rPr>
          <w:rFonts w:hint="eastAsia" w:ascii="宋体" w:hAnsi="宋体" w:cs="宋体"/>
          <w:bCs/>
          <w:sz w:val="24"/>
          <w:szCs w:val="24"/>
        </w:rPr>
      </w:r>
      <w:r/>
    </w:p>
    <w:tbl>
      <w:tblPr>
        <w:tblW w:w="4994" w:type="pct"/>
        <w:tblInd w:w="-108" w:type="dxa"/>
        <w:tblLayout w:type="fixed"/>
        <w:tblCellMar>
          <w:left w:w="108" w:type="dxa"/>
          <w:top w:w="0" w:type="dxa"/>
          <w:right w:w="108" w:type="dxa"/>
          <w:bottom w:w="0" w:type="dxa"/>
        </w:tblCellMar>
        <w:tblLook w:val="04A0" w:firstRow="1" w:lastRow="0" w:firstColumn="1" w:lastColumn="0" w:noHBand="0" w:noVBand="1"/>
      </w:tblPr>
      <w:tblGrid>
        <w:gridCol w:w="1545"/>
        <w:gridCol w:w="8405"/>
      </w:tblGrid>
      <w:tr>
        <w:trPr>
          <w:trHeight w:val="280"/>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门禁发卡</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支持密钥注入和管理发卡二者物理分离，支持通过门禁发卡器实现CPU卡与人员绑定和权限配置；</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非接触协议</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支持ISO/IEC14443A、ISO/IEC14443B、ISO/IEC15693等通信协议；</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接触式协议</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ISO/IEC7816。</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11、门禁密钥注入器</w:t>
      </w:r>
      <w:r>
        <w:rPr>
          <w:rFonts w:hint="eastAsia" w:ascii="宋体" w:hAnsi="宋体" w:cs="宋体"/>
          <w:bCs/>
          <w:sz w:val="24"/>
          <w:szCs w:val="24"/>
        </w:rPr>
      </w:r>
      <w:r/>
    </w:p>
    <w:tbl>
      <w:tblPr>
        <w:tblW w:w="4993" w:type="pct"/>
        <w:tblInd w:w="-108" w:type="dxa"/>
        <w:tblLayout w:type="autofit"/>
        <w:tblCellMar>
          <w:left w:w="108" w:type="dxa"/>
          <w:top w:w="0" w:type="dxa"/>
          <w:right w:w="108" w:type="dxa"/>
          <w:bottom w:w="0" w:type="dxa"/>
        </w:tblCellMar>
        <w:tblLook w:val="04A0" w:firstRow="1" w:lastRow="0" w:firstColumn="1" w:lastColumn="0" w:noHBand="0" w:noVBand="1"/>
      </w:tblPr>
      <w:tblGrid>
        <w:gridCol w:w="1604"/>
        <w:gridCol w:w="8344"/>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密钥管理</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具备三级密钥安全管理机制，支持密钥注入和管理发卡二者物理分离；</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卡片类型</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支持接触式和非接触式智能卡。</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12、CPU卡</w:t>
      </w:r>
      <w:r>
        <w:rPr>
          <w:rFonts w:hint="eastAsia" w:ascii="宋体" w:hAnsi="宋体" w:cs="宋体"/>
          <w:bCs/>
          <w:sz w:val="24"/>
          <w:szCs w:val="24"/>
        </w:rPr>
      </w:r>
      <w:r/>
    </w:p>
    <w:tbl>
      <w:tblPr>
        <w:tblW w:w="4993" w:type="pct"/>
        <w:tblInd w:w="-108" w:type="dxa"/>
        <w:tblLayout w:type="autofit"/>
        <w:tblCellMar>
          <w:left w:w="108" w:type="dxa"/>
          <w:top w:w="0" w:type="dxa"/>
          <w:right w:w="108" w:type="dxa"/>
          <w:bottom w:w="0" w:type="dxa"/>
        </w:tblCellMar>
        <w:tblLook w:val="04A0" w:firstRow="1" w:lastRow="0" w:firstColumn="1" w:lastColumn="0" w:noHBand="0" w:noVBand="1"/>
      </w:tblPr>
      <w:tblGrid>
        <w:gridCol w:w="1604"/>
        <w:gridCol w:w="8344"/>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指标项</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指标要求</w:t>
            </w:r>
            <w:r>
              <w:rPr>
                <w:rFonts w:hint="eastAsia" w:ascii="宋体" w:hAnsi="宋体" w:cs="宋体"/>
                <w:bCs/>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身份鉴别</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采用基于国密算法实现门禁用户身份鉴别；</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密钥注入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支持实现国密CPU卡卡片密钥的注入和更新；</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国密算法</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支持国密SM1、SM4算法加密。</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13、视频监控安全网关</w:t>
      </w:r>
      <w:r>
        <w:rPr>
          <w:rFonts w:hint="eastAsia" w:ascii="宋体" w:hAnsi="宋体" w:cs="宋体"/>
          <w:bCs/>
          <w:sz w:val="24"/>
          <w:szCs w:val="24"/>
        </w:rPr>
      </w:r>
      <w:r/>
    </w:p>
    <w:tbl>
      <w:tblPr>
        <w:tblW w:w="4992" w:type="pct"/>
        <w:tblInd w:w="-108" w:type="dxa"/>
        <w:tblLayout w:type="autofit"/>
        <w:tblCellMar>
          <w:left w:w="108" w:type="dxa"/>
          <w:top w:w="0" w:type="dxa"/>
          <w:right w:w="108" w:type="dxa"/>
          <w:bottom w:w="0" w:type="dxa"/>
        </w:tblCellMar>
        <w:tblLook w:val="04A0" w:firstRow="1" w:lastRow="0" w:firstColumn="1" w:lastColumn="0" w:noHBand="0" w:noVBand="1"/>
      </w:tblPr>
      <w:tblGrid>
        <w:gridCol w:w="1604"/>
        <w:gridCol w:w="8342"/>
      </w:tblGrid>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安全合规</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系统具备视频安全防护系统类商用密码产品认证证书，符合GM/T 0028《密码模块安全技术要求》第二级要求，签订合同时</w:t>
            </w:r>
            <w:r>
              <w:rPr>
                <w:rFonts w:hint="eastAsia"/>
                <w:sz w:val="24"/>
                <w:szCs w:val="24"/>
              </w:rPr>
              <w:t xml:space="preserve">提供有效期内证书</w:t>
            </w:r>
            <w:r>
              <w:rPr>
                <w:rFonts w:hint="eastAsia" w:ascii="宋体" w:hAnsi="宋体" w:cs="宋体"/>
                <w:bCs/>
                <w:sz w:val="24"/>
                <w:szCs w:val="24"/>
              </w:rPr>
              <w:t xml:space="preserve">；</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视频安全网关内置的PCI-E密码卡等密码模块具备商用密码产品认证证书，符合《PCI密码卡技术规范》、符合GM/T 0018《密码设备应用接口规范》、符合GM/T 0028《密码模块安全技术要求》第二级要求，签订合同时</w:t>
            </w:r>
            <w:r>
              <w:rPr>
                <w:rFonts w:hint="eastAsia"/>
                <w:sz w:val="24"/>
                <w:szCs w:val="24"/>
              </w:rPr>
              <w:t xml:space="preserve">提供有效期内证书</w:t>
            </w:r>
            <w:r>
              <w:rPr>
                <w:rFonts w:hint="eastAsia" w:ascii="宋体" w:hAnsi="宋体" w:cs="宋体"/>
                <w:bCs/>
                <w:sz w:val="24"/>
                <w:szCs w:val="24"/>
              </w:rPr>
              <w:t xml:space="preserve">；</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国密算法</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支持SM2/SM3/SM4等SM系列国密算法；</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身份认证</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支持对登录用户进行“国密UKEY PIN码+国密数字证书”双因子身份认证，签订合同时</w:t>
            </w:r>
            <w:r>
              <w:rPr>
                <w:rFonts w:hint="eastAsia" w:ascii="宋体" w:hAnsi="宋体" w:cs="宋体"/>
                <w:sz w:val="24"/>
                <w:szCs w:val="24"/>
              </w:rPr>
              <w:t xml:space="preserve">提供产品功能截图</w:t>
            </w:r>
            <w:r>
              <w:rPr>
                <w:rFonts w:hint="eastAsia" w:ascii="宋体" w:hAnsi="宋体" w:cs="宋体"/>
                <w:bCs/>
                <w:sz w:val="24"/>
                <w:szCs w:val="24"/>
              </w:rPr>
              <w:t xml:space="preserve">；</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密评取证</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支持密评取证，支持通过网络抓包的方式对签名字段进行验证；</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篡改报警</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支持视频记录篡改报警提示；</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透明接入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支持透明接入模式，无需改变原视频监控系统现有网络架构；</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签名验签</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采用基于国密算法的签名验签等密码技术，实现对视频关键帧进行数字签名并将签名结果插入视频流中保存在视频存储设备；</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信令协议</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支持SIP、GB/T 28181、ONVIF等信令协议格式；</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第三方兼容</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兼容海康、大华、宇视等厂商私有协议的网络摄像机和网络硬盘录像机设备，支持免改造；</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硬件接口</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双电源冗余，国产CPU≥8核16线程，内存≥16G，硬盘≥512G固态，国产化操作系统，千兆电口≥6个，千兆光口≥4个，万兆光口≥2个；</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★接入路数</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可接入视频路数：≥64路，4Mbps视频流，签订合同时提供承诺函；</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网络协议</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支持RTP、SDP、RTCP、RTSP等流媒体协议；</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编码格式</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支持H.264、H.265等编码格式；</w:t>
            </w:r>
            <w:r>
              <w:rPr>
                <w:rFonts w:hint="eastAsia" w:ascii="宋体" w:hAnsi="宋体" w:cs="宋体"/>
                <w:bCs/>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国产信创</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419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基于国产信创CPU和操作系统实现，可满足项目国产信创要求。</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14、云平台密码系统</w:t>
      </w:r>
      <w:r>
        <w:rPr>
          <w:rFonts w:hint="eastAsia" w:ascii="宋体" w:hAnsi="宋体" w:cs="宋体"/>
          <w:bCs/>
          <w:sz w:val="24"/>
          <w:szCs w:val="24"/>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8449"/>
      </w:tblGrid>
      <w:tr>
        <w:trPr/>
        <w:tc>
          <w:tcPr>
            <w:tcW w:w="754"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45"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安全合规</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投标产品具备商用密码产品认证证书，且符合GM/T 0028《密码模块安全技术要求》二级要求，签订合同时提供有效期内证书；</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密码功能</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支持面向业务应用提供统一密码服务，提供集中的密码资源管理、密码服务管理、应用密钥管理等；</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身份鉴别</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支持为云平台运营、运维系统提供基于证书的身份鉴别，支持USB-KEY证书+PIN码方式的双因素认证；</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密码管理</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支持对云平台密码资源与云上租户密码资源的统一管理；</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加密防护</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支持云服务Console接入链路加密防护，支持商密算法及服务应用层商密https，支持ECC-SM4-SM3、ECDHE-SM4-SM3等商密算法套件；</w:t>
            </w:r>
            <w:r>
              <w:rPr>
                <w:rFonts w:hint="eastAsia" w:ascii="宋体" w:hAnsi="宋体" w:cs="宋体"/>
                <w:bCs/>
                <w:sz w:val="24"/>
                <w:szCs w:val="24"/>
              </w:rPr>
            </w:r>
            <w:r/>
          </w:p>
        </w:tc>
      </w:tr>
      <w:tr>
        <w:trPr>
          <w:trHeight w:val="180"/>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★兼容性要求</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能够与南京市新一代政务云云平台完全兼容，签订合同时提供承诺函。</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15、密钥管理系统</w:t>
      </w:r>
      <w:r>
        <w:rPr>
          <w:rFonts w:hint="eastAsia" w:ascii="宋体" w:hAnsi="宋体" w:cs="宋体"/>
          <w:bCs/>
          <w:sz w:val="24"/>
          <w:szCs w:val="24"/>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8448"/>
      </w:tblGrid>
      <w:tr>
        <w:trPr/>
        <w:tc>
          <w:tcPr>
            <w:tcW w:w="753"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46"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c>
          <w:tcPr>
            <w:tcW w:w="753"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合规要求</w:t>
            </w: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投标产品具备商用密码产品认证证书，且符合GM/T 0028《密码模块安全技术要求》二级要求，签订合同时提供有效期内证书；</w:t>
            </w:r>
            <w:r>
              <w:rPr>
                <w:rFonts w:hint="eastAsia" w:ascii="宋体" w:hAnsi="宋体" w:cs="宋体"/>
                <w:bCs/>
                <w:sz w:val="24"/>
                <w:szCs w:val="24"/>
              </w:rPr>
            </w:r>
            <w:r/>
          </w:p>
        </w:tc>
      </w:tr>
      <w:tr>
        <w:trPr/>
        <w:tc>
          <w:tcPr>
            <w:tcW w:w="753"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支持调用符合GM/T 0028《密码模块安全技术要求》二级要求的硬件加密机；</w:t>
            </w:r>
            <w:r>
              <w:rPr>
                <w:rFonts w:hint="eastAsia" w:ascii="宋体" w:hAnsi="宋体" w:cs="宋体"/>
                <w:bCs/>
                <w:sz w:val="24"/>
                <w:szCs w:val="24"/>
              </w:rPr>
            </w:r>
            <w:r/>
          </w:p>
        </w:tc>
      </w:tr>
      <w:tr>
        <w:trPr/>
        <w:tc>
          <w:tcPr>
            <w:tcW w:w="753"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密钥管理</w:t>
            </w: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密钥支持对称密钥算法和非对称密钥算法，包括SM2、SM4等；</w:t>
            </w:r>
            <w:r>
              <w:rPr>
                <w:rFonts w:hint="eastAsia" w:ascii="宋体" w:hAnsi="宋体" w:cs="宋体"/>
                <w:bCs/>
                <w:sz w:val="24"/>
                <w:szCs w:val="24"/>
              </w:rPr>
            </w:r>
            <w:r/>
          </w:p>
        </w:tc>
      </w:tr>
      <w:tr>
        <w:trPr/>
        <w:tc>
          <w:tcPr>
            <w:tcW w:w="753"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支持密钥的创建、重置、自动轮转、删除等能力，用户可自主管理主密钥；</w:t>
            </w:r>
            <w:r>
              <w:rPr>
                <w:rFonts w:hint="eastAsia" w:ascii="宋体" w:hAnsi="宋体" w:cs="宋体"/>
                <w:bCs/>
                <w:sz w:val="24"/>
                <w:szCs w:val="24"/>
              </w:rPr>
            </w:r>
            <w:r/>
          </w:p>
        </w:tc>
      </w:tr>
      <w:tr>
        <w:trPr/>
        <w:tc>
          <w:tcPr>
            <w:tcW w:w="753"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支持密钥权限管理，可以将密钥授权给不同用户使用，并可以指定其创建、加密、解密、查询数据密钥等详细的使用权限，支持随时撤销授权；</w:t>
            </w:r>
            <w:r>
              <w:rPr>
                <w:rFonts w:hint="eastAsia" w:ascii="宋体" w:hAnsi="宋体" w:cs="宋体"/>
                <w:bCs/>
                <w:sz w:val="24"/>
                <w:szCs w:val="24"/>
              </w:rPr>
            </w:r>
            <w:r/>
          </w:p>
        </w:tc>
      </w:tr>
      <w:tr>
        <w:trPr/>
        <w:tc>
          <w:tcPr>
            <w:tcW w:w="753"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支持为用户主密钥添加标签，通过标签键或标签值快速搜索并获取主密钥，便于快速识别使用；</w:t>
            </w:r>
            <w:r>
              <w:rPr>
                <w:rFonts w:hint="eastAsia" w:ascii="宋体" w:hAnsi="宋体" w:cs="宋体"/>
                <w:bCs/>
                <w:sz w:val="24"/>
                <w:szCs w:val="24"/>
              </w:rPr>
            </w:r>
            <w:r/>
          </w:p>
        </w:tc>
      </w:tr>
      <w:tr>
        <w:trPr/>
        <w:tc>
          <w:tcPr>
            <w:tcW w:w="753"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★兼容性要求</w:t>
            </w:r>
            <w:r>
              <w:rPr>
                <w:rFonts w:hint="eastAsia" w:ascii="宋体" w:hAnsi="宋体" w:cs="宋体"/>
                <w:bCs/>
                <w:sz w:val="24"/>
                <w:szCs w:val="24"/>
              </w:rPr>
            </w:r>
            <w:r/>
          </w:p>
        </w:tc>
        <w:tc>
          <w:tcPr>
            <w:tcW w:w="4246"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能够与南京市新一代政务云云平台完全兼容，签订合同时提供承诺函。</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16、数字证书认证系统</w:t>
      </w:r>
      <w:r>
        <w:rPr>
          <w:rFonts w:hint="eastAsia" w:ascii="宋体" w:hAnsi="宋体" w:cs="宋体"/>
          <w:bCs/>
          <w:sz w:val="24"/>
          <w:szCs w:val="24"/>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8448"/>
      </w:tblGrid>
      <w:tr>
        <w:trPr/>
        <w:tc>
          <w:tcPr>
            <w:tcW w:w="754"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45"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合规要求</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投标产品具备商用密码产品认证证书，且符合GM/T 0034《基于SM2密码算法的证书认证系统密码及其相关安全技术规范》，签订合同时提供有效期内证书；</w:t>
            </w:r>
            <w:r>
              <w:rPr>
                <w:rFonts w:hint="eastAsia" w:ascii="宋体" w:hAnsi="宋体" w:cs="宋体"/>
                <w:bCs/>
                <w:sz w:val="24"/>
                <w:szCs w:val="24"/>
              </w:rPr>
            </w:r>
            <w:r/>
          </w:p>
        </w:tc>
      </w:tr>
      <w:tr>
        <w:trPr/>
        <w:tc>
          <w:tcPr>
            <w:tcW w:w="754" w:type="dxa"/>
            <w:vAlign w:val="center"/>
            <w:vMerge w:val="restart"/>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认证功能</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支持证书的申请签发、下载、更新、查询、吊销等生命周期管理，支持证书模板管理功能；</w:t>
            </w:r>
            <w:r>
              <w:rPr>
                <w:rFonts w:hint="eastAsia" w:ascii="宋体" w:hAnsi="宋体" w:cs="宋体"/>
                <w:bCs/>
                <w:sz w:val="24"/>
                <w:szCs w:val="24"/>
              </w:rPr>
            </w:r>
            <w:r/>
          </w:p>
        </w:tc>
      </w:tr>
      <w:tr>
        <w:trPr/>
        <w:tc>
          <w:tcPr>
            <w:tcW w:w="754"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支持CMP协议，支持验证白名单，支持使用异步轮询方式，支持配置证书确认等待时间，支持设置消息保护签名算法；</w:t>
            </w:r>
            <w:r>
              <w:rPr>
                <w:rFonts w:hint="eastAsia" w:ascii="宋体" w:hAnsi="宋体" w:cs="宋体"/>
                <w:bCs/>
                <w:sz w:val="24"/>
                <w:szCs w:val="24"/>
              </w:rPr>
            </w:r>
            <w:r/>
          </w:p>
        </w:tc>
      </w:tr>
      <w:tr>
        <w:trPr/>
        <w:tc>
          <w:tcPr>
            <w:tcW w:w="754"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支持标准证书协议对接第三方CA；</w:t>
            </w:r>
            <w:r>
              <w:rPr>
                <w:rFonts w:hint="eastAsia" w:ascii="宋体" w:hAnsi="宋体" w:cs="宋体"/>
                <w:bCs/>
                <w:sz w:val="24"/>
                <w:szCs w:val="24"/>
              </w:rPr>
            </w:r>
            <w:r/>
          </w:p>
        </w:tc>
      </w:tr>
      <w:tr>
        <w:trPr/>
        <w:tc>
          <w:tcPr>
            <w:tcW w:w="754" w:type="dxa"/>
            <w:vAlign w:val="center"/>
            <w:vMerge w:val="continue"/>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支持对接加密机保护根密，生成公私钥对；</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★兼容性要求</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能够与南京市新一代政务云云平台完全兼容，签订合同时提供承诺函。</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17、云密码机</w:t>
      </w:r>
      <w:r>
        <w:rPr>
          <w:rFonts w:hint="eastAsia" w:ascii="宋体" w:hAnsi="宋体" w:cs="宋体"/>
          <w:bCs/>
          <w:sz w:val="24"/>
          <w:szCs w:val="24"/>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8448"/>
      </w:tblGrid>
      <w:tr>
        <w:trPr/>
        <w:tc>
          <w:tcPr>
            <w:tcW w:w="754"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指标项</w:t>
            </w:r>
            <w:r>
              <w:rPr>
                <w:rFonts w:hint="eastAsia" w:ascii="宋体" w:hAnsi="宋体" w:cs="宋体"/>
                <w:b/>
                <w:sz w:val="24"/>
                <w:szCs w:val="24"/>
              </w:rPr>
            </w:r>
            <w:r/>
          </w:p>
        </w:tc>
        <w:tc>
          <w:tcPr>
            <w:tcW w:w="4245"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指标不低于以下要求</w:t>
            </w:r>
            <w:r>
              <w:rPr>
                <w:rFonts w:hint="eastAsia" w:ascii="宋体" w:hAnsi="宋体" w:cs="宋体"/>
                <w:b/>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合规要求</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投标产品具备商用密码产品认证证书，且符合GM/T 0028《密码模块安全技术要求》二级要求，签订合同时提供有效期内证书；</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硬件配置</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要求机架式设备，实配冗余电源，CPU≥2核，内存≥8G，≥4个千兆电口，前面板支持液晶屏；</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网络配置</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支持IPv4和IPv6网络；</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密码功能</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支持生成对称密钥管理以及非对称密钥，支持密钥分发、更新、归档、恢复等功能，支持通过https方式进行远程管理，签订合同时提供具有CMA标识的检测报告；</w:t>
            </w:r>
            <w:r>
              <w:rPr>
                <w:rFonts w:hint="eastAsia" w:ascii="宋体" w:hAnsi="宋体" w:cs="宋体"/>
                <w:bCs/>
                <w:sz w:val="24"/>
                <w:szCs w:val="24"/>
              </w:rPr>
            </w:r>
            <w:r/>
          </w:p>
        </w:tc>
      </w:tr>
      <w:tr>
        <w:trPr/>
        <w:tc>
          <w:tcPr>
            <w:tcW w:w="75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★兼容性要求</w:t>
            </w:r>
            <w:r>
              <w:rPr>
                <w:rFonts w:hint="eastAsia" w:ascii="宋体" w:hAnsi="宋体" w:cs="宋体"/>
                <w:bCs/>
                <w:sz w:val="24"/>
                <w:szCs w:val="24"/>
              </w:rPr>
            </w:r>
            <w:r/>
          </w:p>
        </w:tc>
        <w:tc>
          <w:tcPr>
            <w:tcW w:w="424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能够与南京市新一代政务云云平台完全兼容，签订合同时提供承诺函。</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jc w:val="left"/>
        <w:spacing w:line="264" w:lineRule="auto"/>
        <w:rPr>
          <w:rFonts w:ascii="宋体" w:hAnsi="宋体" w:cs="宋体"/>
          <w:bCs/>
          <w:sz w:val="24"/>
          <w:szCs w:val="24"/>
        </w:rPr>
      </w:pPr>
      <w:r>
        <w:rPr>
          <w:rFonts w:hint="eastAsia" w:ascii="宋体" w:hAnsi="宋体" w:cs="宋体"/>
          <w:bCs/>
          <w:sz w:val="24"/>
          <w:szCs w:val="24"/>
        </w:rPr>
        <w:t xml:space="preserve">18、系统集成</w:t>
      </w:r>
      <w:r>
        <w:rPr>
          <w:rFonts w:ascii="宋体" w:hAnsi="宋体" w:cs="宋体"/>
          <w:bCs/>
          <w:sz w:val="24"/>
          <w:szCs w:val="24"/>
        </w:rPr>
      </w:r>
      <w:r/>
    </w:p>
    <w:p>
      <w:pPr>
        <w:pStyle w:val="869"/>
        <w:ind w:firstLine="420"/>
        <w:jc w:val="left"/>
        <w:spacing w:line="264" w:lineRule="auto"/>
        <w:rPr>
          <w:rFonts w:hint="eastAsia" w:ascii="宋体" w:hAnsi="宋体" w:cs="宋体"/>
          <w:bCs/>
          <w:sz w:val="24"/>
          <w:szCs w:val="24"/>
        </w:rPr>
      </w:pPr>
      <w:r>
        <w:rPr>
          <w:rFonts w:hint="eastAsia" w:ascii="宋体" w:hAnsi="宋体" w:cs="宋体"/>
          <w:bCs/>
          <w:sz w:val="24"/>
          <w:szCs w:val="24"/>
        </w:rPr>
        <w:t xml:space="preserve">根据采购人业务需求，完成政务云数据安全态势感知体系和密码安全建设整体规划与详细设计，提供全面的技术架构方案和项目实施计划。</w:t>
      </w:r>
      <w:r>
        <w:rPr>
          <w:rFonts w:hint="eastAsia" w:ascii="宋体" w:hAnsi="宋体" w:cs="宋体"/>
          <w:bCs/>
          <w:sz w:val="24"/>
          <w:szCs w:val="24"/>
        </w:rPr>
      </w:r>
      <w:r/>
    </w:p>
    <w:p>
      <w:pPr>
        <w:pStyle w:val="869"/>
        <w:ind w:firstLine="420"/>
        <w:jc w:val="left"/>
        <w:spacing w:line="264" w:lineRule="auto"/>
        <w:rPr>
          <w:rFonts w:hint="eastAsia" w:ascii="宋体" w:hAnsi="宋体" w:cs="宋体"/>
          <w:bCs/>
          <w:sz w:val="24"/>
          <w:szCs w:val="24"/>
        </w:rPr>
      </w:pPr>
      <w:r>
        <w:rPr>
          <w:rFonts w:hint="eastAsia" w:ascii="宋体" w:hAnsi="宋体" w:cs="宋体"/>
          <w:bCs/>
          <w:sz w:val="24"/>
          <w:szCs w:val="24"/>
        </w:rPr>
        <w:t xml:space="preserve">按照上述设计方案，完成采购所需的各类硬件设备，并完成设备的安装、调试与集成工作，确保设备正常运行且符合性能要求。</w:t>
      </w:r>
      <w:r>
        <w:rPr>
          <w:rFonts w:hint="eastAsia" w:ascii="宋体" w:hAnsi="宋体" w:cs="宋体"/>
          <w:bCs/>
          <w:sz w:val="24"/>
          <w:szCs w:val="24"/>
        </w:rPr>
      </w:r>
      <w:r/>
    </w:p>
    <w:p>
      <w:pPr>
        <w:pStyle w:val="869"/>
        <w:ind w:firstLine="420"/>
        <w:jc w:val="left"/>
        <w:spacing w:line="264" w:lineRule="auto"/>
        <w:rPr>
          <w:rFonts w:hint="eastAsia" w:ascii="宋体" w:hAnsi="宋体" w:cs="宋体"/>
          <w:bCs/>
          <w:sz w:val="24"/>
          <w:szCs w:val="24"/>
        </w:rPr>
      </w:pPr>
      <w:r>
        <w:rPr>
          <w:rFonts w:hint="eastAsia" w:ascii="宋体" w:hAnsi="宋体" w:cs="宋体"/>
          <w:bCs/>
          <w:sz w:val="24"/>
          <w:szCs w:val="24"/>
        </w:rPr>
        <w:t xml:space="preserve">完成项目招标所需各类软件系统的部署与调试，实现各软件系统之间的无缝对接与数据交互，保障系统的兼容性和稳定性。</w:t>
      </w:r>
      <w:r>
        <w:rPr>
          <w:rFonts w:hint="eastAsia" w:ascii="宋体" w:hAnsi="宋体" w:cs="宋体"/>
          <w:bCs/>
          <w:sz w:val="24"/>
          <w:szCs w:val="24"/>
        </w:rPr>
      </w:r>
      <w:r/>
    </w:p>
    <w:p>
      <w:pPr>
        <w:pStyle w:val="869"/>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对集成后的系统进行全面的测试，及时发现并解决潜在问题。根据测试结果对系统进行优化，提升系统的运行效率和可靠性。</w:t>
      </w: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19、安全组件对接定制开发服务</w:t>
      </w:r>
      <w:r>
        <w:rPr>
          <w:rFonts w:hint="eastAsia" w:ascii="宋体" w:hAnsi="宋体" w:cs="宋体"/>
          <w:bCs/>
          <w:sz w:val="24"/>
          <w:szCs w:val="24"/>
        </w:rPr>
      </w:r>
      <w:r/>
    </w:p>
    <w:p>
      <w:pPr>
        <w:pStyle w:val="869"/>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实现数据安全态势分析系统与数据流转分析子系统、数据接口检测子系统，及现有网络环境中零信任、数据库审计系统等之间的系统对接、数据联动分析等能力。</w:t>
      </w:r>
      <w:r>
        <w:rPr>
          <w:rFonts w:hint="eastAsia" w:ascii="宋体" w:hAnsi="宋体" w:cs="宋体"/>
          <w:bCs/>
          <w:sz w:val="24"/>
          <w:szCs w:val="24"/>
        </w:rPr>
      </w:r>
      <w:r/>
    </w:p>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20、数据安全运营</w:t>
      </w:r>
      <w:r>
        <w:rPr>
          <w:rFonts w:hint="eastAsia" w:ascii="宋体" w:hAnsi="宋体" w:cs="宋体"/>
          <w:bCs/>
          <w:sz w:val="24"/>
          <w:szCs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881"/>
        <w:gridCol w:w="8079"/>
      </w:tblGrid>
      <w:tr>
        <w:trPr>
          <w:trHeight w:val="639"/>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产品巡检服务</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数据安全设备巡检,包含但不限于设备的CPU、内存、系统、运行日志网络等产品软硬件相关的内容；</w:t>
            </w:r>
            <w:r>
              <w:rPr>
                <w:rFonts w:hint="eastAsia" w:ascii="宋体" w:hAnsi="宋体" w:cs="宋体"/>
                <w:bCs/>
                <w:sz w:val="24"/>
                <w:szCs w:val="24"/>
              </w:rPr>
            </w:r>
            <w:r/>
          </w:p>
        </w:tc>
      </w:tr>
      <w:tr>
        <w:trPr>
          <w:trHeight w:val="639"/>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安全运维服务</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安全运维服务,包含软件版本升级、软件系统功能故障处理、重要漏洞加固、配置备份等，保障产品稳定运行；</w:t>
            </w:r>
            <w:r>
              <w:rPr>
                <w:rFonts w:hint="eastAsia" w:ascii="宋体" w:hAnsi="宋体" w:cs="宋体"/>
                <w:bCs/>
                <w:sz w:val="24"/>
                <w:szCs w:val="24"/>
              </w:rPr>
            </w:r>
            <w:r/>
          </w:p>
        </w:tc>
      </w:tr>
      <w:tr>
        <w:trPr>
          <w:trHeight w:val="663"/>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策略优化服务</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策略优化,包含防护规则优化、监测规则优化。持续的优化可以提升防护效果、减少无效告警，提升告警精准性，实现快速发现和高效处置；</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数据源资产梳理</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对数据源资产扫描，并对数据源资产进行标记等，形成数据源资产清单；</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API资产梳理</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对API接口资产扫描，并对API进行标记，形成API资产清单；</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应用资产梳理</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对应用资产扫描，并对应用资产进行标记，形成应用资产清单；</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日志与告警分析</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通过各数据安全设备的告警日志进行综合分析研判，形成数据安全线索；</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数据资产风险运营</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对线索进一步研判，并进行核实与验证，形成数据安全风险；</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数据安全事件运营</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对线索进一步研判，并进行核实与验证，形成数据安全事件；</w:t>
            </w:r>
            <w:r>
              <w:rPr>
                <w:rFonts w:hint="eastAsia" w:ascii="宋体" w:hAnsi="宋体" w:cs="宋体"/>
                <w:bCs/>
                <w:sz w:val="24"/>
                <w:szCs w:val="24"/>
              </w:rPr>
            </w:r>
            <w:r/>
          </w:p>
        </w:tc>
      </w:tr>
      <w:tr>
        <w:trPr>
          <w:trHeight w:val="639"/>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数据安全通报</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当数据安全风险/事件发生时，按照客户侧的相关安全管理要求，提供通报的基础性资料，配合完成数据安全通报工作。</w:t>
            </w:r>
            <w:r>
              <w:rPr>
                <w:rFonts w:hint="eastAsia" w:ascii="宋体" w:hAnsi="宋体" w:cs="宋体"/>
                <w:bCs/>
                <w:sz w:val="24"/>
                <w:szCs w:val="24"/>
              </w:rPr>
            </w:r>
            <w:r/>
          </w:p>
        </w:tc>
      </w:tr>
      <w:tr>
        <w:trPr>
          <w:trHeight w:val="327"/>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数据安全处置</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当数据安全风险/事件发生时，按照数据安全运营工作流程，进行处置工作</w:t>
            </w:r>
            <w:r>
              <w:rPr>
                <w:rFonts w:hint="eastAsia" w:ascii="宋体" w:hAnsi="宋体" w:cs="宋体"/>
                <w:bCs/>
                <w:sz w:val="24"/>
                <w:szCs w:val="24"/>
              </w:rPr>
            </w:r>
            <w:r/>
          </w:p>
        </w:tc>
      </w:tr>
      <w:tr>
        <w:trPr>
          <w:trHeight w:val="639"/>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运营报告编写</w:t>
            </w:r>
            <w:r>
              <w:rPr>
                <w:rFonts w:hint="eastAsia" w:ascii="宋体" w:hAnsi="宋体" w:cs="宋体"/>
                <w:bCs/>
                <w:sz w:val="24"/>
                <w:szCs w:val="24"/>
              </w:rPr>
            </w:r>
            <w:r/>
          </w:p>
        </w:tc>
        <w:tc>
          <w:tcPr>
            <w:tcBorders>
              <w:top w:val="single" w:color="000000" w:sz="8" w:space="0"/>
              <w:left w:val="single" w:color="000000" w:sz="8" w:space="0"/>
              <w:bottom w:val="single" w:color="000000" w:sz="8" w:space="0"/>
              <w:right w:val="single" w:color="000000" w:sz="8" w:space="0"/>
            </w:tcBorders>
            <w:tcW w:w="4055" w:type="dxa"/>
            <w:vAlign w:val="center"/>
            <w:textDirection w:val="lrTb"/>
            <w:noWrap w:val="false"/>
          </w:tcPr>
          <w:p>
            <w:pPr>
              <w:pStyle w:val="869"/>
              <w:jc w:val="left"/>
              <w:spacing w:line="264" w:lineRule="auto"/>
              <w:rPr>
                <w:rFonts w:hint="eastAsia" w:ascii="宋体" w:hAnsi="宋体" w:cs="宋体"/>
                <w:bCs/>
                <w:sz w:val="24"/>
                <w:szCs w:val="24"/>
              </w:rPr>
            </w:pPr>
            <w:r>
              <w:rPr>
                <w:rFonts w:hint="eastAsia" w:ascii="宋体" w:hAnsi="宋体" w:cs="宋体"/>
                <w:bCs/>
                <w:sz w:val="24"/>
                <w:szCs w:val="24"/>
              </w:rPr>
              <w:t xml:space="preserve">数据安全运营报告，量化数据安全运营成果，记录数据安全风险/事件，提出数据安全优化建议。</w:t>
            </w:r>
            <w:r>
              <w:rPr>
                <w:rFonts w:hint="eastAsia" w:ascii="宋体" w:hAnsi="宋体" w:cs="宋体"/>
                <w:bCs/>
                <w:sz w:val="24"/>
                <w:szCs w:val="24"/>
              </w:rPr>
            </w:r>
            <w:r/>
          </w:p>
        </w:tc>
      </w:tr>
    </w:tbl>
    <w:p>
      <w:pPr>
        <w:pStyle w:val="869"/>
        <w:jc w:val="left"/>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jc w:val="left"/>
        <w:spacing w:line="264" w:lineRule="auto"/>
        <w:rPr>
          <w:rFonts w:hint="eastAsia" w:ascii="宋体" w:hAnsi="宋体" w:cs="宋体"/>
          <w:bCs/>
          <w:sz w:val="24"/>
          <w:szCs w:val="24"/>
        </w:rPr>
      </w:pPr>
      <w:r>
        <w:rPr>
          <w:rFonts w:hint="eastAsia" w:ascii="宋体" w:hAnsi="宋体" w:cs="宋体"/>
          <w:bCs/>
          <w:sz w:val="24"/>
          <w:szCs w:val="24"/>
        </w:rPr>
        <w:t xml:space="preserve">21、场景定制开发服务</w:t>
      </w:r>
      <w:r>
        <w:rPr>
          <w:rFonts w:hint="eastAsia" w:ascii="宋体" w:hAnsi="宋体" w:cs="宋体"/>
          <w:bCs/>
          <w:sz w:val="24"/>
          <w:szCs w:val="24"/>
        </w:rPr>
      </w:r>
      <w:r/>
    </w:p>
    <w:p>
      <w:pPr>
        <w:pStyle w:val="869"/>
        <w:ind w:firstLine="480"/>
        <w:keepLines w:val="0"/>
        <w:keepNext w:val="0"/>
        <w:pageBreakBefore w:val="0"/>
        <w:spacing w:line="264" w:lineRule="auto"/>
        <w:widowControl w:val="off"/>
        <w:rPr>
          <w:rFonts w:hint="eastAsia" w:ascii="宋体" w:hAnsi="宋体" w:cs="宋体"/>
          <w:bCs/>
          <w:sz w:val="24"/>
          <w:szCs w:val="24"/>
        </w:rPr>
        <w:outlineLvl w:val="9"/>
      </w:pPr>
      <w:r>
        <w:rPr>
          <w:rFonts w:hint="eastAsia" w:ascii="宋体" w:hAnsi="宋体" w:cs="宋体"/>
          <w:bCs/>
          <w:sz w:val="24"/>
          <w:szCs w:val="24"/>
        </w:rPr>
        <w:t xml:space="preserve">结合数据安全态势分析系统、数据流转分析子系统、数据接口检测子系统，及现有网络环境中零信任、数据库审计系统，实现数据安全运维管理、数据共享交换监测、境内外数据窃取监测、异常数据访问、数据泄露监测、市、区两级监测等场景数据安全分析能力。</w:t>
      </w:r>
      <w:r>
        <w:rPr>
          <w:rFonts w:hint="eastAsia" w:ascii="宋体" w:hAnsi="宋体" w:cs="宋体"/>
          <w:bCs/>
          <w:sz w:val="24"/>
          <w:szCs w:val="24"/>
        </w:rPr>
      </w:r>
      <w:r/>
    </w:p>
    <w:p>
      <w:pPr>
        <w:pStyle w:val="881"/>
        <w:rPr>
          <w:rFonts w:hint="eastAsia"/>
          <w:lang w:val="en-US" w:eastAsia="zh-CN"/>
        </w:rPr>
      </w:pPr>
      <w:r>
        <w:rPr>
          <w:rFonts w:hint="eastAsia"/>
          <w:lang w:val="en-US" w:eastAsia="zh-CN"/>
        </w:rPr>
      </w:r>
      <w:r/>
    </w:p>
    <w:p>
      <w:pPr>
        <w:pStyle w:val="869"/>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eastAsia="宋体" w:cs="宋体"/>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ascii="宋体" w:hAnsi="宋体" w:cs="宋体"/>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eastAsia="宋体" w:cs="宋体"/>
          <w:sz w:val="24"/>
          <w:szCs w:val="24"/>
        </w:rPr>
        <w:t xml:space="preserve">报价要求</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rPr>
          <w:rFonts w:ascii="宋体" w:hAnsi="宋体" w:cs="宋体"/>
        </w:rPr>
      </w:r>
      <w:r/>
    </w:p>
    <w:p>
      <w:pPr>
        <w:pStyle w:val="869"/>
        <w:ind w:firstLine="480"/>
        <w:spacing w:line="264" w:lineRule="auto"/>
        <w:rPr>
          <w:rFonts w:hint="eastAsia" w:ascii="宋体" w:hAnsi="宋体" w:cs="宋体"/>
          <w:color w:val="0000ff"/>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2.实施要求</w:t>
      </w:r>
      <w:r>
        <w:rPr>
          <w:rFonts w:ascii="宋体" w:hAnsi="宋体" w:cs="宋体"/>
        </w:rPr>
      </w:r>
      <w:r/>
    </w:p>
    <w:p>
      <w:pPr>
        <w:pStyle w:val="869"/>
        <w:ind w:firstLine="480"/>
        <w:spacing w:line="264" w:lineRule="auto"/>
        <w:rPr>
          <w:rFonts w:ascii="宋体" w:hAnsi="宋体" w:cs="宋体"/>
          <w:sz w:val="24"/>
          <w:szCs w:val="24"/>
        </w:rPr>
      </w:pPr>
      <w:r>
        <w:rPr>
          <w:rFonts w:ascii="宋体" w:hAnsi="宋体" w:eastAsia="宋体" w:cs="宋体"/>
          <w:sz w:val="24"/>
          <w:szCs w:val="24"/>
        </w:rPr>
        <w:t xml:space="preserve">（1）总体要求</w:t>
      </w:r>
      <w:r>
        <w:rPr>
          <w:rFonts w:ascii="宋体" w:hAnsi="宋体" w:cs="宋体"/>
        </w:rPr>
      </w:r>
      <w:r/>
    </w:p>
    <w:p>
      <w:pPr>
        <w:pStyle w:val="869"/>
        <w:ind w:firstLine="480"/>
        <w:spacing w:line="264" w:lineRule="auto"/>
        <w:rPr>
          <w:rFonts w:ascii="宋体" w:hAnsi="宋体" w:cs="宋体"/>
          <w:sz w:val="24"/>
          <w:szCs w:val="24"/>
        </w:rPr>
      </w:pPr>
      <w:r>
        <w:rPr>
          <w:rFonts w:hint="eastAsia" w:ascii="宋体" w:hAnsi="宋体" w:eastAsia="宋体" w:cs="宋体"/>
          <w:sz w:val="24"/>
          <w:szCs w:val="24"/>
        </w:rPr>
        <w:t xml:space="preserve">项目在实施过程中，为顺利完成本次项目，应严格按照项目管理的要求进行项目实施。根据项目整体安排科学性、合理性、可操作性，投标人需提供的项目实施方案，包含需要的环境、项目实施方案、人员组成、质量保证、进度要求、风险预防、控制措施、突发事件处置方案，有明确的时间节点和进度安排，项目管理运行机制健全。</w:t>
      </w:r>
      <w:r>
        <w:rPr>
          <w:rFonts w:ascii="宋体" w:hAnsi="宋体" w:cs="宋体"/>
        </w:rPr>
      </w:r>
      <w:r/>
    </w:p>
    <w:p>
      <w:pPr>
        <w:pStyle w:val="869"/>
        <w:ind w:firstLine="480"/>
        <w:spacing w:line="264" w:lineRule="auto"/>
        <w:rPr>
          <w:rFonts w:hint="eastAsia" w:ascii="宋体" w:hAnsi="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质量要求</w:t>
      </w:r>
      <w:r>
        <w:rPr>
          <w:rFonts w:ascii="宋体" w:hAnsi="宋体" w:cs="宋体"/>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eastAsia="宋体" w:cs="宋体"/>
          <w:sz w:val="24"/>
          <w:szCs w:val="24"/>
        </w:rPr>
        <w:t xml:space="preserve">设备进场前，供应商应提供详细专业的项目技术方案，包括但不限于数据安全体系建设方案、密码安全体系建设方案等。</w:t>
      </w:r>
      <w:r>
        <w:rPr>
          <w:rFonts w:ascii="宋体" w:hAnsi="宋体" w:cs="宋体"/>
        </w:rPr>
      </w:r>
      <w:r/>
    </w:p>
    <w:p>
      <w:pPr>
        <w:pStyle w:val="869"/>
        <w:ind w:firstLine="480"/>
        <w:spacing w:line="264" w:lineRule="auto"/>
        <w:rPr>
          <w:rFonts w:ascii="宋体" w:hAnsi="宋体" w:cs="宋体"/>
          <w:sz w:val="24"/>
          <w:szCs w:val="24"/>
        </w:rPr>
      </w:pPr>
      <w:r>
        <w:rPr>
          <w:rFonts w:ascii="宋体" w:hAnsi="宋体" w:cs="宋体"/>
          <w:sz w:val="24"/>
          <w:szCs w:val="24"/>
        </w:rPr>
        <w:t xml:space="preserve">②</w:t>
      </w:r>
      <w:r>
        <w:rPr>
          <w:rFonts w:hint="eastAsia" w:ascii="宋体" w:hAnsi="宋体" w:eastAsia="宋体" w:cs="宋体"/>
          <w:sz w:val="24"/>
          <w:szCs w:val="24"/>
        </w:rPr>
        <w:t xml:space="preserve">设备安装、调试期间，保障业务的连续性，如期间出现任何非计划内中断事故，供应商应承担相应责任。</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（3）验收要求</w:t>
      </w:r>
      <w:r>
        <w:rPr>
          <w:rFonts w:ascii="宋体" w:hAnsi="宋体" w:cs="宋体"/>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①</w:t>
      </w:r>
      <w:r>
        <w:rPr>
          <w:rFonts w:hint="eastAsia" w:ascii="宋体" w:hAnsi="宋体" w:eastAsia="宋体" w:cs="宋体"/>
          <w:sz w:val="24"/>
          <w:szCs w:val="24"/>
        </w:rPr>
        <w:t xml:space="preserve">项目初验要求：设备到货后，采购人与供应商共同配合对所有设备进行开箱检查，出现损坏、数量不全或产品不对等问题时，由供应商负责解决。</w:t>
      </w:r>
      <w:r>
        <w:rPr>
          <w:rFonts w:ascii="宋体" w:hAnsi="宋体" w:cs="宋体"/>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②</w:t>
      </w:r>
      <w:r>
        <w:rPr>
          <w:rFonts w:hint="eastAsia" w:ascii="宋体" w:hAnsi="宋体" w:eastAsia="宋体" w:cs="宋体"/>
          <w:sz w:val="24"/>
          <w:szCs w:val="24"/>
        </w:rPr>
        <w:t xml:space="preserve">项目终验要求：设备安装完成，由供应商制定测试方案并经用户确认后，项目进入试运行期，试运行期6个月，试运行过程中进行测试并形成测试报告，经试运行后无问题、采购人收到供应商的验收申请并经主管部门同意后组织验收，经验收合格后出具验收报告。</w:t>
      </w:r>
      <w:r>
        <w:rPr>
          <w:rFonts w:ascii="宋体" w:hAnsi="宋体" w:cs="宋体"/>
        </w:rPr>
      </w:r>
      <w:r/>
    </w:p>
    <w:p>
      <w:pPr>
        <w:pStyle w:val="869"/>
        <w:ind w:firstLine="480"/>
        <w:spacing w:line="264" w:lineRule="auto"/>
        <w:rPr>
          <w:rFonts w:ascii="宋体" w:hAnsi="宋体" w:cs="宋体"/>
          <w:sz w:val="24"/>
          <w:szCs w:val="24"/>
        </w:rPr>
      </w:pPr>
      <w:r>
        <w:rPr>
          <w:rFonts w:hint="eastAsia" w:ascii="宋体" w:hAnsi="宋体" w:eastAsia="宋体" w:cs="宋体"/>
          <w:sz w:val="24"/>
          <w:szCs w:val="24"/>
        </w:rPr>
        <w:t xml:space="preserve">③如验收中出现不符合投标文件和合同要求的严重质量问题时，采购人保留索赔权利。</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（4）质保（维保）及售后要求</w:t>
      </w:r>
      <w:r>
        <w:rPr>
          <w:rFonts w:ascii="宋体" w:hAnsi="宋体" w:cs="宋体"/>
        </w:rPr>
      </w:r>
      <w:r/>
    </w:p>
    <w:p>
      <w:pPr>
        <w:pStyle w:val="869"/>
        <w:ind w:firstLine="480"/>
        <w:spacing w:line="264" w:lineRule="auto"/>
        <w:rPr>
          <w:rFonts w:ascii="宋体" w:hAnsi="宋体" w:cs="宋体"/>
          <w:sz w:val="24"/>
          <w:szCs w:val="24"/>
        </w:rPr>
      </w:pPr>
      <w:r>
        <w:rPr>
          <w:rFonts w:ascii="宋体" w:hAnsi="宋体" w:cs="宋体"/>
          <w:sz w:val="24"/>
          <w:szCs w:val="24"/>
        </w:rPr>
        <w:t xml:space="preserve">①</w:t>
      </w:r>
      <w:r>
        <w:rPr>
          <w:rFonts w:hint="eastAsia" w:ascii="宋体" w:hAnsi="宋体" w:eastAsia="宋体" w:cs="宋体"/>
          <w:sz w:val="24"/>
          <w:szCs w:val="24"/>
        </w:rPr>
        <w:t xml:space="preserve">本项目整体质保不少于3年，自项目终验合格之日起，进入质保期。</w:t>
      </w:r>
      <w:r>
        <w:rPr>
          <w:rFonts w:ascii="宋体" w:hAnsi="宋体" w:cs="宋体"/>
        </w:rPr>
      </w:r>
      <w:r/>
    </w:p>
    <w:p>
      <w:pPr>
        <w:pStyle w:val="869"/>
        <w:ind w:firstLine="480"/>
        <w:spacing w:line="264" w:lineRule="auto"/>
        <w:rPr>
          <w:rFonts w:ascii="宋体" w:hAnsi="宋体" w:cs="宋体"/>
          <w:sz w:val="24"/>
          <w:szCs w:val="24"/>
        </w:rPr>
      </w:pPr>
      <w:r>
        <w:rPr>
          <w:rFonts w:ascii="宋体" w:hAnsi="宋体" w:cs="宋体"/>
          <w:sz w:val="24"/>
          <w:szCs w:val="24"/>
        </w:rPr>
        <w:t xml:space="preserve">②</w:t>
      </w:r>
      <w:r>
        <w:rPr>
          <w:rFonts w:hint="eastAsia" w:ascii="宋体" w:hAnsi="宋体" w:eastAsia="宋体" w:cs="宋体"/>
          <w:sz w:val="24"/>
          <w:szCs w:val="24"/>
        </w:rPr>
        <w:t xml:space="preserve">供应商在售后服务期内应提供7×24小时运维服务，及时响应紧急情况下的用户服务请求和故障申报服务，接听处理用户的技术咨询、服务请求和故障申报，反馈运维服务信息。通过即时通讯软件/书面/电话等多种方式，保持与用户的紧密联系和沟通渠道。</w:t>
      </w:r>
      <w:r>
        <w:rPr>
          <w:rFonts w:ascii="宋体" w:hAnsi="宋体" w:cs="宋体"/>
        </w:rPr>
      </w:r>
      <w:r/>
    </w:p>
    <w:p>
      <w:pPr>
        <w:pStyle w:val="869"/>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eastAsia="宋体" w:cs="宋体"/>
          <w:sz w:val="24"/>
          <w:szCs w:val="24"/>
        </w:rPr>
        <w:t xml:space="preserve">售后服务期内，供应商应对本项目中所提供的软件升级、保修，负责对提供的设备进行现场维修和更换故障配件，费用均包含在本次报价中。</w:t>
      </w:r>
      <w:r>
        <w:rPr>
          <w:rFonts w:ascii="宋体" w:hAnsi="宋体" w:cs="宋体"/>
          <w:sz w:val="24"/>
          <w:szCs w:val="24"/>
        </w:rPr>
        <w:t xml:space="preserve"> </w:t>
      </w:r>
      <w:r>
        <w:rPr>
          <w:rFonts w:ascii="宋体" w:hAnsi="宋体" w:cs="宋体"/>
        </w:rPr>
      </w:r>
      <w:r/>
    </w:p>
    <w:p>
      <w:pPr>
        <w:pStyle w:val="869"/>
        <w:ind w:firstLine="480"/>
        <w:spacing w:line="264" w:lineRule="auto"/>
        <w:rPr>
          <w:rFonts w:ascii="宋体" w:hAnsi="宋体" w:cs="宋体"/>
          <w:sz w:val="24"/>
          <w:szCs w:val="24"/>
        </w:rPr>
      </w:pPr>
      <w:r>
        <w:rPr>
          <w:rFonts w:hint="eastAsia" w:ascii="宋体" w:hAnsi="宋体" w:eastAsia="宋体" w:cs="宋体"/>
          <w:sz w:val="24"/>
          <w:szCs w:val="24"/>
        </w:rPr>
        <w:t xml:space="preserve">④在售后服务期内，设备由于质量或产品本身原因造成的损伤或损坏，供应商应修理或更换。</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⑤售后服务内容包括但不限于：1）设备日常维护、巡检；2）故障电路及其他损坏设备的修理；3）备件备品的购买；4）重大故障或特殊故障的紧急远端或现场抢修；5）其他必须的技术服务（例如软件的版本升级、大模型专家服务等）。</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（5）应急响应要求</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①协助采购人制定应急响应制度及应急预案。配合采购人进行应急预案的演练，根据演练结果协助服务采购人修订应急响应预案。</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②根据应急预案，执行重大故障事件应急响应工作。</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③应提供7x24小时故障事件应急响应工作，在接到数据中心应急响应服务请求后须在30分钟内远程响应处置。应急响应主要针对突发的机器宕机、网络不通、应用瘫痪、数据丢失事件等进行诊断、分析并协助解决。在完成应急事件响应处理后及时向采购方提供事件处理记录及整改建议报告。</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（6）培训要求</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①供应商签订合同时提供周全的培训计划、培训目标、培训内容、培训方法、培训频次。</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②培训方式采取线上+线下，确保采购人对系统操作的熟悉性，能够全面熟练掌握软件运行、检查、维护等工作，确保日常工作的顺利完成。</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③供应商每年度至少提供1次培训服务，每次不少于1小时。</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④培训人员不低于3人，且需具有相关专业资格和实际工作经验、参加过本项目的专家或技术人员。接受培训人员由采购人自行确定。</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⑤供应商应向接受培训人员提供技术资料、图纸、参考文献材料等。</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⑥所有培训所涉及的所有费用包含在本次报价中，不得另行向采购单位收取。</w:t>
      </w:r>
      <w:r>
        <w:rPr>
          <w:rFonts w:ascii="宋体" w:hAnsi="宋体" w:cs="宋体"/>
        </w:rPr>
      </w:r>
      <w:r/>
    </w:p>
    <w:p>
      <w:pPr>
        <w:pStyle w:val="869"/>
        <w:ind w:firstLine="480"/>
        <w:spacing w:line="264" w:lineRule="auto"/>
        <w:rPr>
          <w:rFonts w:ascii="宋体" w:hAnsi="宋体" w:cs="宋体"/>
          <w:sz w:val="24"/>
          <w:szCs w:val="24"/>
        </w:rPr>
      </w:pPr>
      <w:r>
        <w:rPr>
          <w:rFonts w:hint="eastAsia" w:ascii="宋体" w:hAnsi="宋体" w:eastAsia="宋体" w:cs="宋体"/>
          <w:sz w:val="24"/>
          <w:szCs w:val="24"/>
        </w:rPr>
        <w:t xml:space="preserve">（7）人员要求</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①项目组成员：组建不少于8人的项目团队。</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②项目负责人职责：负责整个项目的计划、组织、指导和控制。确保项目按时、按质量完成，并与采购人保持沟通，解决项目过程中的问题，从项目架构、技术要求和实施方法论上指导项目实施。</w:t>
      </w:r>
      <w:r>
        <w:rPr>
          <w:rFonts w:ascii="宋体" w:hAnsi="宋体" w:cs="宋体"/>
        </w:rPr>
      </w:r>
      <w:r/>
    </w:p>
    <w:p>
      <w:pPr>
        <w:pStyle w:val="869"/>
        <w:ind w:firstLine="480"/>
        <w:spacing w:line="264" w:lineRule="auto"/>
        <w:rPr>
          <w:rFonts w:ascii="宋体" w:hAnsi="宋体" w:cs="宋体"/>
          <w:sz w:val="24"/>
          <w:szCs w:val="24"/>
        </w:rPr>
      </w:pPr>
      <w:r>
        <w:rPr>
          <w:rFonts w:hint="eastAsia" w:ascii="宋体" w:hAnsi="宋体" w:eastAsia="宋体" w:cs="宋体"/>
          <w:sz w:val="24"/>
          <w:szCs w:val="24"/>
        </w:rPr>
        <w:t xml:space="preserve">③现场项目经理职责：负责制定进度计划，控制项目质量，完成分析和实施工作，项目的设计规划工作。</w:t>
      </w:r>
      <w:r>
        <w:rPr>
          <w:rFonts w:ascii="宋体" w:hAnsi="宋体" w:cs="宋体"/>
        </w:rPr>
      </w:r>
      <w:r/>
    </w:p>
    <w:p>
      <w:pPr>
        <w:pStyle w:val="869"/>
        <w:ind w:firstLine="480"/>
        <w:spacing w:line="264" w:lineRule="auto"/>
        <w:rPr>
          <w:rFonts w:hint="eastAsia" w:ascii="宋体" w:hAnsi="宋体" w:cs="宋体"/>
          <w:sz w:val="24"/>
          <w:szCs w:val="24"/>
        </w:rPr>
      </w:pPr>
      <w:r>
        <w:rPr>
          <w:rFonts w:hint="eastAsia" w:ascii="宋体" w:hAnsi="宋体" w:eastAsia="宋体" w:cs="宋体"/>
          <w:sz w:val="24"/>
          <w:szCs w:val="24"/>
        </w:rPr>
        <w:t xml:space="preserve">④技术人员职责：负责项目安装、调试、集成，保证系统运行安全，负责在试运行期间调试和优化，保证系顺利上线。</w:t>
      </w:r>
      <w:r>
        <w:rPr>
          <w:rFonts w:ascii="宋体" w:hAnsi="宋体" w:cs="宋体"/>
        </w:rPr>
      </w:r>
      <w:r/>
    </w:p>
    <w:p>
      <w:pPr>
        <w:pStyle w:val="869"/>
        <w:ind w:firstLine="480"/>
        <w:spacing w:line="264" w:lineRule="auto"/>
        <w:rPr>
          <w:rFonts w:ascii="宋体" w:hAnsi="宋体" w:cs="宋体"/>
          <w:bCs/>
          <w:sz w:val="24"/>
          <w:szCs w:val="24"/>
        </w:rPr>
      </w:pPr>
      <w:r>
        <w:rPr>
          <w:rFonts w:hint="eastAsia" w:ascii="宋体" w:hAnsi="宋体" w:eastAsia="宋体" w:cs="宋体"/>
          <w:bCs/>
          <w:sz w:val="24"/>
          <w:szCs w:val="24"/>
        </w:rPr>
        <w:t xml:space="preserve">（8）对接要求</w:t>
      </w:r>
      <w:r>
        <w:rPr>
          <w:rFonts w:ascii="宋体" w:hAnsi="宋体" w:cs="宋体"/>
        </w:rPr>
      </w:r>
      <w:r/>
    </w:p>
    <w:p>
      <w:pPr>
        <w:pStyle w:val="869"/>
        <w:ind w:firstLine="480"/>
        <w:spacing w:line="264" w:lineRule="auto"/>
        <w:rPr>
          <w:rFonts w:ascii="宋体" w:hAnsi="宋体" w:cs="宋体"/>
          <w:bCs/>
          <w:sz w:val="24"/>
          <w:szCs w:val="24"/>
        </w:rPr>
      </w:pPr>
      <w:r>
        <w:rPr>
          <w:rFonts w:hint="eastAsia" w:ascii="宋体" w:hAnsi="宋体" w:eastAsia="宋体" w:cs="宋体"/>
          <w:bCs/>
          <w:sz w:val="24"/>
          <w:szCs w:val="24"/>
        </w:rPr>
        <w:t xml:space="preserve">本项目涉及的对接服务相关费用由供应商承担，采购人负责协调对接工作，联系方式详见第一章。</w:t>
      </w:r>
      <w:r>
        <w:rPr>
          <w:rFonts w:ascii="宋体" w:hAnsi="宋体" w:cs="宋体"/>
        </w:rPr>
      </w:r>
      <w:r/>
    </w:p>
    <w:p>
      <w:pPr>
        <w:pStyle w:val="869"/>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sz w:val="24"/>
          <w:szCs w:val="24"/>
        </w:rPr>
        <w:t xml:space="preserve">合同签订后60个工作日内完成供货，供货后30个工作日内完成全部安装调试工作并投入试运行，试运行6个月。</w:t>
      </w:r>
      <w:r>
        <w:rPr>
          <w:rFonts w:ascii="宋体" w:hAnsi="宋体" w:cs="宋体"/>
          <w:sz w:val="24"/>
          <w:szCs w:val="24"/>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69"/>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9"/>
        <w:ind w:firstLine="480"/>
        <w:spacing w:line="264" w:lineRule="auto"/>
        <w:rPr>
          <w:rFonts w:hint="eastAsia" w:ascii="宋体" w:hAnsi="宋体" w:cs="宋体"/>
          <w:bCs/>
          <w:sz w:val="24"/>
          <w:szCs w:val="24"/>
        </w:rPr>
      </w:pPr>
      <w:r/>
      <w:bookmarkStart w:id="195"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869"/>
        <w:ind w:firstLine="480"/>
        <w:spacing w:line="264" w:lineRule="auto"/>
        <w:rPr>
          <w:rFonts w:hint="eastAsia" w:ascii="宋体" w:hAnsi="宋体" w:cs="宋体"/>
          <w:sz w:val="24"/>
          <w:szCs w:val="24"/>
        </w:rPr>
      </w:pPr>
      <w:r/>
      <w:bookmarkEnd w:id="19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bCs/>
          <w:sz w:val="24"/>
          <w:szCs w:val="24"/>
          <w:lang w:val="en-US" w:eastAsia="zh-CN"/>
        </w:rPr>
        <w:t xml:space="preserve">视频</w:t>
      </w:r>
      <w:r>
        <w:rPr>
          <w:rFonts w:hint="eastAsia" w:ascii="宋体" w:hAnsi="宋体" w:cs="宋体"/>
          <w:sz w:val="24"/>
          <w:szCs w:val="24"/>
        </w:rPr>
        <w:t xml:space="preserve">演示要求</w:t>
      </w:r>
      <w:r>
        <w:rPr>
          <w:rFonts w:hint="eastAsia" w:ascii="宋体" w:hAnsi="宋体" w:cs="宋体"/>
          <w:sz w:val="24"/>
          <w:szCs w:val="24"/>
        </w:rPr>
      </w:r>
      <w:r/>
    </w:p>
    <w:p>
      <w:pPr>
        <w:pStyle w:val="869"/>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）。文件上传方式见《操作手册》，上传的演示视频将作为投标文件的组成部分。视频时长总计不超过15分钟。</w:t>
      </w:r>
      <w:r>
        <w:rPr>
          <w:rFonts w:hint="eastAsia" w:ascii="宋体" w:hAnsi="宋体" w:cs="宋体"/>
          <w:sz w:val="24"/>
          <w:szCs w:val="24"/>
        </w:rPr>
      </w:r>
      <w:r/>
    </w:p>
    <w:p>
      <w:pPr>
        <w:pStyle w:val="869"/>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sz w:val="24"/>
          <w:szCs w:val="24"/>
        </w:rPr>
        <w:t xml:space="preserve">2.演示内容详见“第五章  评标方法与评标标准”</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ff"/>
          <w:sz w:val="24"/>
          <w:szCs w:val="24"/>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sz w:val="24"/>
          <w:szCs w:val="24"/>
        </w:rPr>
        <w:t xml:space="preserve">2.技术</w:t>
      </w:r>
      <w:r>
        <w:rPr>
          <w:rFonts w:hint="eastAsia" w:ascii="宋体" w:hAnsi="宋体"/>
          <w:sz w:val="24"/>
          <w:szCs w:val="24"/>
          <w:lang w:eastAsia="zh-CN"/>
        </w:rPr>
        <w:t xml:space="preserve">”</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sz w:val="24"/>
          <w:szCs w:val="24"/>
        </w:rPr>
      </w:r>
      <w:r/>
    </w:p>
    <w:p>
      <w:pPr>
        <w:pStyle w:val="869"/>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9"/>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9"/>
        <w:ind w:firstLine="480"/>
        <w:keepLines w:val="0"/>
        <w:keepNext w:val="0"/>
        <w:pageBreakBefore w:val="0"/>
        <w:spacing w:line="264" w:lineRule="auto"/>
        <w:widowControl w:val="off"/>
        <w:rPr>
          <w:rFonts w:hint="eastAsia" w:ascii="宋体" w:hAnsi="宋体" w:eastAsia="宋体" w:cs="宋体"/>
          <w:b/>
          <w:bCs/>
          <w:color w:val="0000ff"/>
          <w:sz w:val="24"/>
          <w:szCs w:val="24"/>
          <w:highlight w:val="none"/>
          <w:lang w:eastAsia="zh-CN"/>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bCs/>
          <w:color w:val="0000ff"/>
          <w:sz w:val="24"/>
          <w:szCs w:val="24"/>
          <w:highlight w:val="none"/>
          <w:lang w:eastAsia="zh-CN"/>
        </w:rPr>
      </w:r>
      <w:r/>
    </w:p>
    <w:p>
      <w:pPr>
        <w:pStyle w:val="869"/>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center"/>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center"/>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center"/>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869"/>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1030"/>
        </w:trPr>
        <w:tc>
          <w:tcPr>
            <w:tcW w:w="519"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W w:w="1179" w:type="dxa"/>
            <w:vAlign w:val="center"/>
            <w:textDirection w:val="lrTb"/>
            <w:noWrap w:val="false"/>
          </w:tcPr>
          <w:p>
            <w:pPr>
              <w:pStyle w:val="869"/>
              <w:jc w:val="left"/>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W w:w="6330" w:type="dxa"/>
            <w:vAlign w:val="center"/>
            <w:textDirection w:val="lrTb"/>
            <w:noWrap w:val="false"/>
          </w:tcPr>
          <w:p>
            <w:pPr>
              <w:pStyle w:val="869"/>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hint="eastAsia" w:ascii="宋体" w:hAnsi="宋体" w:cs="宋体"/>
              </w:rPr>
            </w:r>
            <w:r/>
          </w:p>
        </w:tc>
        <w:tc>
          <w:tcPr>
            <w:tcW w:w="647" w:type="dxa"/>
            <w:vAlign w:val="center"/>
            <w:textDirection w:val="lrTb"/>
            <w:noWrap w:val="false"/>
          </w:tcPr>
          <w:p>
            <w:pPr>
              <w:pStyle w:val="869"/>
              <w:jc w:val="center"/>
              <w:spacing w:line="264" w:lineRule="auto"/>
              <w:rPr>
                <w:rFonts w:ascii="宋体" w:hAnsi="宋体" w:cs="宋体"/>
              </w:rPr>
            </w:pPr>
            <w:r>
              <w:rPr>
                <w:rFonts w:hint="eastAsia" w:ascii="宋体" w:hAnsi="宋体" w:cs="宋体"/>
                <w:lang w:val="en-US" w:eastAsia="zh-CN"/>
              </w:rPr>
              <w:t xml:space="preserve">3</w:t>
            </w:r>
            <w:r>
              <w:rPr>
                <w:rFonts w:hint="eastAsia" w:ascii="宋体" w:hAnsi="宋体" w:cs="宋体"/>
              </w:rPr>
              <w:t xml:space="preserve">0</w:t>
            </w:r>
            <w:r>
              <w:rPr>
                <w:rFonts w:ascii="宋体" w:hAnsi="宋体" w:cs="宋体"/>
              </w:rPr>
            </w:r>
            <w:r/>
          </w:p>
        </w:tc>
        <w:tc>
          <w:tcPr>
            <w:tcW w:w="900"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69"/>
              <w:ind w:left="114"/>
              <w:spacing w:before="123" w:line="264" w:lineRule="auto"/>
              <w:rPr>
                <w:rFonts w:hint="eastAsia" w:ascii="宋体" w:hAnsi="宋体" w:cs="宋体"/>
              </w:rPr>
            </w:pPr>
            <w:r>
              <w:rPr>
                <w:rFonts w:hint="eastAsia" w:ascii="宋体" w:hAnsi="宋体" w:cs="宋体"/>
                <w:b/>
                <w:bCs/>
                <w:spacing w:val="-3"/>
              </w:rPr>
              <w:t xml:space="preserve">2.技术</w:t>
            </w:r>
            <w:r>
              <w:rPr>
                <w:rFonts w:hint="eastAsia" w:ascii="宋体" w:hAnsi="宋体" w:cs="宋体"/>
              </w:rPr>
            </w:r>
            <w:r/>
          </w:p>
        </w:tc>
      </w:tr>
      <w:tr>
        <w:trPr>
          <w:trHeight w:val="891"/>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2.1</w:t>
            </w:r>
            <w:r>
              <w:rPr>
                <w:rFonts w:hint="eastAsia"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hint="eastAsia" w:ascii="宋体" w:hAnsi="宋体" w:cs="宋体"/>
                <w:spacing w:val="-2"/>
              </w:rPr>
              <w:t xml:space="preserve">产品技术参数</w:t>
            </w:r>
            <w:r>
              <w:rPr>
                <w:rFonts w:hint="eastAsia" w:ascii="宋体" w:hAnsi="宋体" w:cs="宋体"/>
                <w:spacing w:val="-2"/>
              </w:rPr>
            </w:r>
            <w:r/>
          </w:p>
        </w:tc>
        <w:tc>
          <w:tcPr>
            <w:tcW w:w="6330" w:type="dxa"/>
            <w:vAlign w:val="center"/>
            <w:textDirection w:val="lrTb"/>
            <w:noWrap w:val="false"/>
          </w:tcPr>
          <w:p>
            <w:pPr>
              <w:pStyle w:val="869"/>
              <w:spacing w:line="264" w:lineRule="auto"/>
              <w:rPr>
                <w:rFonts w:hint="eastAsia" w:ascii="宋体" w:hAnsi="宋体" w:cs="宋体"/>
                <w:spacing w:val="1"/>
              </w:rPr>
            </w:pPr>
            <w:r>
              <w:rPr>
                <w:rFonts w:hint="eastAsia" w:ascii="宋体" w:hAnsi="宋体" w:cs="宋体"/>
              </w:rPr>
              <w:t xml:space="preserve">产品技术参数全部满足招标要求的得满分，打★指标为必须满足项，如有负偏离将作为无效投标，非打★指标有1项负偏离扣1分，扣完为止。</w:t>
            </w:r>
            <w:r>
              <w:rPr>
                <w:rFonts w:hint="eastAsia" w:ascii="宋体" w:hAnsi="宋体" w:cs="宋体"/>
                <w:spacing w:val="1"/>
              </w:rPr>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891"/>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2.2</w:t>
            </w:r>
            <w:r>
              <w:rPr>
                <w:rFonts w:hint="eastAsia" w:ascii="宋体" w:hAnsi="宋体" w:cs="宋体"/>
                <w:spacing w:val="-2"/>
              </w:rPr>
            </w:r>
            <w:r/>
          </w:p>
        </w:tc>
        <w:tc>
          <w:tcPr>
            <w:tcW w:w="1179" w:type="dxa"/>
            <w:vAlign w:val="center"/>
            <w:textDirection w:val="lrTb"/>
            <w:noWrap w:val="false"/>
          </w:tcPr>
          <w:p>
            <w:pPr>
              <w:pStyle w:val="869"/>
              <w:jc w:val="left"/>
              <w:spacing w:before="68" w:line="264" w:lineRule="auto"/>
              <w:rPr>
                <w:rFonts w:ascii="宋体" w:hAnsi="宋体" w:cs="宋体"/>
                <w:spacing w:val="-2"/>
              </w:rPr>
            </w:pPr>
            <w:r>
              <w:rPr>
                <w:rFonts w:hint="eastAsia" w:ascii="宋体" w:hAnsi="宋体" w:cs="宋体"/>
                <w:spacing w:val="-2"/>
              </w:rPr>
              <w:t xml:space="preserve">需求理解</w:t>
            </w:r>
            <w:r>
              <w:rPr>
                <w:rFonts w:ascii="宋体" w:hAnsi="宋体" w:cs="宋体"/>
                <w:spacing w:val="-2"/>
              </w:rPr>
            </w:r>
            <w:r/>
          </w:p>
        </w:tc>
        <w:tc>
          <w:tcPr>
            <w:tcW w:w="6330" w:type="dxa"/>
            <w:vAlign w:val="center"/>
            <w:textDirection w:val="lrTb"/>
            <w:noWrap w:val="false"/>
          </w:tcPr>
          <w:p>
            <w:pPr>
              <w:pStyle w:val="869"/>
              <w:jc w:val="left"/>
              <w:widowControl/>
              <w:rPr>
                <w:rFonts w:hint="eastAsia" w:ascii="宋体" w:hAnsi="宋体" w:cs="宋体"/>
                <w:color w:val="000000"/>
                <w:lang w:bidi="ar"/>
              </w:rPr>
            </w:pPr>
            <w:r>
              <w:rPr>
                <w:rFonts w:hint="eastAsia" w:ascii="宋体" w:hAnsi="宋体" w:cs="宋体"/>
                <w:color w:val="000000"/>
                <w:lang w:bidi="ar"/>
              </w:rPr>
              <w:t xml:space="preserve">评委根据投标人提供的需求理解材料综合评分，包括1.数据安全需求分析；2.密码安全需求分析。以上每项内容逐条阐述。</w:t>
            </w:r>
            <w:r>
              <w:rPr>
                <w:rFonts w:hint="eastAsia" w:ascii="宋体" w:hAnsi="宋体" w:cs="宋体"/>
                <w:color w:val="000000"/>
                <w:lang w:bidi="ar"/>
              </w:rPr>
            </w:r>
            <w:r/>
          </w:p>
          <w:p>
            <w:pPr>
              <w:pStyle w:val="988"/>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rPr>
                <w:rFonts w:hint="eastAsia"/>
                <w:sz w:val="21"/>
                <w:szCs w:val="21"/>
                <w:lang w:val="en-US" w:bidi="ar-SA"/>
              </w:rPr>
            </w:r>
            <w:r/>
          </w:p>
          <w:p>
            <w:pPr>
              <w:pStyle w:val="869"/>
              <w:spacing w:line="264" w:lineRule="auto"/>
              <w:rPr>
                <w:rFonts w:hint="eastAsia" w:ascii="宋体" w:hAnsi="宋体" w:cs="宋体"/>
              </w:rPr>
            </w:pPr>
            <w:r>
              <w:rPr>
                <w:rFonts w:hint="eastAsia" w:ascii="宋体" w:hAnsi="宋体" w:cs="宋体"/>
              </w:rPr>
              <w:t xml:space="preserve">（3）上述每项内容不科学合理、无操作性或未提供的不得分。</w:t>
            </w:r>
            <w:r>
              <w:rPr>
                <w:rFonts w:hint="eastAsia" w:ascii="宋体" w:hAnsi="宋体" w:cs="宋体"/>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889"/>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2.3</w:t>
            </w:r>
            <w:r>
              <w:rPr>
                <w:rFonts w:hint="eastAsia"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hint="eastAsia" w:ascii="宋体" w:hAnsi="宋体" w:cs="宋体"/>
              </w:rPr>
              <w:t xml:space="preserve">视频演示</w:t>
            </w:r>
            <w:r>
              <w:rPr>
                <w:rFonts w:hint="eastAsia" w:ascii="宋体" w:hAnsi="宋体" w:cs="宋体"/>
                <w:spacing w:val="-2"/>
              </w:rPr>
            </w:r>
            <w:r/>
          </w:p>
        </w:tc>
        <w:tc>
          <w:tcPr>
            <w:tcW w:w="6330" w:type="dxa"/>
            <w:vAlign w:val="center"/>
            <w:textDirection w:val="lrTb"/>
            <w:noWrap w:val="false"/>
          </w:tcPr>
          <w:p>
            <w:pPr>
              <w:pStyle w:val="869"/>
              <w:spacing w:line="264" w:lineRule="auto"/>
              <w:rPr>
                <w:rFonts w:hint="eastAsia" w:ascii="宋体" w:hAnsi="宋体" w:cs="宋体"/>
                <w:lang w:val="zh-CN"/>
              </w:rPr>
            </w:pPr>
            <w:r>
              <w:rPr>
                <w:rFonts w:hint="eastAsia" w:ascii="宋体" w:hAnsi="宋体" w:cs="宋体"/>
              </w:rPr>
              <w:t xml:space="preserve">评委根据投标人</w:t>
            </w:r>
            <w:r>
              <w:rPr>
                <w:rFonts w:hint="eastAsia" w:ascii="宋体" w:hAnsi="宋体" w:cs="宋体"/>
                <w:lang w:val="zh-CN"/>
              </w:rPr>
              <w:t xml:space="preserve">提供</w:t>
            </w:r>
            <w:r>
              <w:rPr>
                <w:rFonts w:hint="eastAsia" w:ascii="宋体" w:hAnsi="宋体" w:cs="宋体"/>
              </w:rPr>
              <w:t xml:space="preserve">的数据安全态势分析系统（产品清单1）视频演示情况综合评分（每位投标人总</w:t>
            </w:r>
            <w:r>
              <w:rPr>
                <w:rFonts w:hint="eastAsia" w:ascii="宋体" w:hAnsi="宋体" w:cs="宋体"/>
                <w:lang w:val="en-US" w:eastAsia="zh-CN"/>
              </w:rPr>
              <w:t xml:space="preserve">演示</w:t>
            </w:r>
            <w:r>
              <w:rPr>
                <w:rFonts w:hint="eastAsia" w:ascii="宋体" w:hAnsi="宋体" w:cs="宋体"/>
              </w:rPr>
              <w:t xml:space="preserve">时间不超过15分钟）：</w:t>
            </w:r>
            <w:r>
              <w:rPr>
                <w:rFonts w:hint="eastAsia" w:ascii="宋体" w:hAnsi="宋体" w:cs="宋体"/>
                <w:lang w:val="zh-CN"/>
              </w:rPr>
            </w:r>
            <w:r/>
          </w:p>
          <w:p>
            <w:pPr>
              <w:pStyle w:val="869"/>
              <w:spacing w:line="264" w:lineRule="auto"/>
              <w:rPr>
                <w:rFonts w:hint="eastAsia" w:ascii="宋体" w:hAnsi="宋体" w:cs="宋体"/>
              </w:rPr>
            </w:pPr>
            <w:r>
              <w:rPr>
                <w:rFonts w:hint="eastAsia" w:ascii="宋体" w:hAnsi="宋体" w:cs="宋体"/>
              </w:rPr>
              <w:t xml:space="preserve">1.演示数据安全态势分析系统的数据流转监测能力，可从运营人员最关注的信息开始，逐步增加筛选条件，缩小范围，查看数据流动日志；每条数据访问日志均可查看其源IP、账号、目标类型（应用、数据库）、IP地址、数据标签、敏感数据访问量、访问时间等信息，并可查看该访问日志的数据流转图；支持以链路的形式展示一段时间内的源IP通过应用 访问数据库或者直接访问到数据库的行为，可以查看数据流转的节点、数据泄露的路径、访问者的身份和角色、访问时间和访问的数据内容等信息。（</w:t>
            </w:r>
            <w:r>
              <w:rPr>
                <w:rFonts w:hint="eastAsia" w:ascii="宋体" w:hAnsi="宋体" w:cs="宋体"/>
                <w:lang w:val="en-US" w:eastAsia="zh-CN"/>
              </w:rPr>
              <w:t xml:space="preserve">3</w:t>
            </w:r>
            <w:r>
              <w:rPr>
                <w:rFonts w:hint="eastAsia" w:ascii="宋体" w:hAnsi="宋体" w:cs="宋体"/>
              </w:rPr>
              <w:t xml:space="preserve">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2.演示数据安全态势分析系统的数据安全响应处置能力，支持基于告警信息自动生成数据安全事件；输入检索条件后针对 出现的多个可疑来源IP进行集中度聚合统计分析，如IP出现占比、资产名称出现比例等，从而方便运营人员去快速分析研判。（</w:t>
            </w:r>
            <w:r>
              <w:rPr>
                <w:rFonts w:hint="eastAsia" w:ascii="宋体" w:hAnsi="宋体" w:cs="宋体"/>
                <w:lang w:val="en-US" w:eastAsia="zh-CN"/>
              </w:rPr>
              <w:t xml:space="preserve">3</w:t>
            </w:r>
            <w:r>
              <w:rPr>
                <w:rFonts w:hint="eastAsia" w:ascii="宋体" w:hAnsi="宋体" w:cs="宋体"/>
              </w:rPr>
              <w:t xml:space="preserve">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3.演示数据安全态势分析系统的数据资产梳理能力，对于存储中的静态数据、使用中的动态数据，可识别具体的数据内容，并进行一定的敏感数据打标，可以对静态数据和动态数据以全局视图进行展示。提供细粒度到敏感数据内容的全局视图，可直接展示具体的敏感数据内容。（</w:t>
            </w:r>
            <w:r>
              <w:rPr>
                <w:rFonts w:hint="eastAsia" w:ascii="宋体" w:hAnsi="宋体" w:cs="宋体"/>
                <w:lang w:val="en-US" w:eastAsia="zh-CN"/>
              </w:rPr>
              <w:t xml:space="preserve">3</w:t>
            </w:r>
            <w:r>
              <w:rPr>
                <w:rFonts w:hint="eastAsia" w:ascii="宋体" w:hAnsi="宋体" w:cs="宋体"/>
              </w:rPr>
              <w:t xml:space="preserve">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4.演示数据安全态势分析系统的AI能力，具备智能告警研判功能，自动分析告警有效性，提供详细研判过程、判断依据及业务影响程度评估。（</w:t>
            </w:r>
            <w:r>
              <w:rPr>
                <w:rFonts w:hint="eastAsia" w:ascii="宋体" w:hAnsi="宋体" w:cs="宋体"/>
                <w:lang w:val="en-US" w:eastAsia="zh-CN"/>
              </w:rPr>
              <w:t xml:space="preserve">3</w:t>
            </w:r>
            <w:r>
              <w:rPr>
                <w:rFonts w:hint="eastAsia" w:ascii="宋体" w:hAnsi="宋体" w:cs="宋体"/>
              </w:rPr>
              <w:t xml:space="preserve">分）</w:t>
            </w:r>
            <w:r>
              <w:rPr>
                <w:rFonts w:hint="eastAsia" w:ascii="宋体" w:hAnsi="宋体" w:cs="宋体"/>
              </w:rPr>
            </w:r>
            <w:r/>
          </w:p>
          <w:p>
            <w:pPr>
              <w:pStyle w:val="869"/>
              <w:spacing w:line="264" w:lineRule="auto"/>
              <w:rPr>
                <w:rFonts w:ascii="宋体" w:hAnsi="宋体" w:cs="宋体"/>
              </w:rPr>
            </w:pPr>
            <w:r>
              <w:rPr>
                <w:rFonts w:ascii="宋体" w:hAnsi="宋体" w:cs="宋体"/>
              </w:rPr>
              <w:t xml:space="preserve">以上每项采用</w:t>
            </w:r>
            <w:r>
              <w:rPr>
                <w:rFonts w:hint="eastAsia" w:ascii="宋体" w:hAnsi="宋体" w:cs="宋体"/>
              </w:rPr>
              <w:t xml:space="preserve">类似</w:t>
            </w:r>
            <w:r>
              <w:rPr>
                <w:rFonts w:ascii="宋体" w:hAnsi="宋体" w:cs="宋体"/>
              </w:rPr>
              <w:t xml:space="preserve">真实系统演示，建设内容理解程度完整、覆盖程度方面准确、界面友好的，得</w:t>
            </w:r>
            <w:r>
              <w:rPr>
                <w:rFonts w:hint="eastAsia" w:ascii="宋体" w:hAnsi="宋体" w:cs="宋体"/>
                <w:lang w:val="en-US" w:eastAsia="zh-CN"/>
              </w:rPr>
              <w:t xml:space="preserve">3</w:t>
            </w:r>
            <w:r>
              <w:rPr>
                <w:rFonts w:ascii="宋体" w:hAnsi="宋体" w:cs="宋体"/>
              </w:rPr>
              <w:t xml:space="preserve">分；建设内容理解程度完整性、覆盖程度方面准确性、界面友好均</w:t>
            </w:r>
            <w:r>
              <w:rPr>
                <w:rFonts w:hint="eastAsia" w:ascii="宋体" w:hAnsi="宋体" w:cs="宋体"/>
              </w:rPr>
              <w:t xml:space="preserve">基本满足要求</w:t>
            </w:r>
            <w:r>
              <w:rPr>
                <w:rFonts w:ascii="宋体" w:hAnsi="宋体" w:cs="宋体"/>
              </w:rPr>
              <w:t xml:space="preserve">的，得</w:t>
            </w:r>
            <w:r>
              <w:rPr>
                <w:rFonts w:hint="eastAsia" w:ascii="宋体" w:hAnsi="宋体" w:cs="宋体"/>
                <w:lang w:val="en-US" w:eastAsia="zh-CN"/>
              </w:rPr>
              <w:t xml:space="preserve">1.5</w:t>
            </w:r>
            <w:r>
              <w:rPr>
                <w:rFonts w:ascii="宋体" w:hAnsi="宋体" w:cs="宋体"/>
              </w:rPr>
              <w:t xml:space="preserve">分；</w:t>
            </w:r>
            <w:r>
              <w:rPr>
                <w:rFonts w:hint="eastAsia" w:ascii="宋体" w:hAnsi="宋体" w:cs="宋体"/>
              </w:rPr>
              <w:t xml:space="preserve">其他不得分。</w:t>
            </w:r>
            <w:r>
              <w:rPr>
                <w:rFonts w:ascii="宋体" w:hAnsi="宋体" w:cs="宋体"/>
              </w:rPr>
            </w:r>
            <w:r/>
          </w:p>
          <w:p>
            <w:pPr>
              <w:pStyle w:val="869"/>
              <w:spacing w:line="264" w:lineRule="auto"/>
              <w:rPr>
                <w:rFonts w:hint="eastAsia" w:ascii="宋体" w:hAnsi="宋体" w:cs="宋体"/>
              </w:rPr>
            </w:pPr>
            <w:r>
              <w:rPr>
                <w:rFonts w:ascii="宋体" w:hAnsi="宋体" w:cs="宋体"/>
              </w:rPr>
              <w:t xml:space="preserve">以上每项采用</w:t>
            </w:r>
            <w:r>
              <w:rPr>
                <w:rFonts w:hint="eastAsia" w:ascii="宋体" w:hAnsi="宋体" w:cs="宋体"/>
              </w:rPr>
              <w:t xml:space="preserve">非类似</w:t>
            </w:r>
            <w:r>
              <w:rPr>
                <w:rFonts w:ascii="宋体" w:hAnsi="宋体" w:cs="宋体"/>
              </w:rPr>
              <w:t xml:space="preserve">真实系统</w:t>
            </w:r>
            <w:r>
              <w:rPr>
                <w:rFonts w:hint="eastAsia" w:ascii="宋体" w:hAnsi="宋体" w:cs="宋体"/>
              </w:rPr>
              <w:t xml:space="preserve">（如</w:t>
            </w:r>
            <w:r>
              <w:rPr>
                <w:rFonts w:ascii="宋体" w:hAnsi="宋体" w:cs="宋体"/>
              </w:rPr>
              <w:t xml:space="preserve">DEMO</w:t>
            </w:r>
            <w:r>
              <w:rPr>
                <w:rFonts w:hint="eastAsia" w:ascii="宋体" w:hAnsi="宋体" w:cs="宋体"/>
              </w:rPr>
              <w:t xml:space="preserve">、PPT</w:t>
            </w:r>
            <w:r>
              <w:rPr>
                <w:rFonts w:ascii="宋体" w:hAnsi="宋体" w:cs="宋体"/>
              </w:rPr>
              <w:t xml:space="preserve">等方式</w:t>
            </w:r>
            <w:r>
              <w:rPr>
                <w:rFonts w:hint="eastAsia" w:ascii="宋体" w:hAnsi="宋体" w:cs="宋体"/>
              </w:rPr>
              <w:t xml:space="preserve">）</w:t>
            </w:r>
            <w:r>
              <w:rPr>
                <w:rFonts w:ascii="宋体" w:hAnsi="宋体" w:cs="宋体"/>
              </w:rPr>
              <w:t xml:space="preserve">演示得</w:t>
            </w:r>
            <w:r>
              <w:rPr>
                <w:rFonts w:hint="eastAsia" w:ascii="宋体" w:hAnsi="宋体" w:cs="宋体"/>
              </w:rPr>
              <w:t xml:space="preserve">对应一半分值</w:t>
            </w:r>
            <w:r>
              <w:rPr>
                <w:rFonts w:ascii="宋体" w:hAnsi="宋体" w:cs="宋体"/>
              </w:rPr>
              <w:t xml:space="preserve">；</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本项最多1</w:t>
            </w:r>
            <w:r>
              <w:rPr>
                <w:rFonts w:hint="eastAsia" w:ascii="宋体" w:hAnsi="宋体" w:cs="宋体"/>
                <w:lang w:val="en-US" w:eastAsia="zh-CN"/>
              </w:rPr>
              <w:t xml:space="preserve">2</w:t>
            </w:r>
            <w:r>
              <w:rPr>
                <w:rFonts w:hint="eastAsia" w:ascii="宋体" w:hAnsi="宋体" w:cs="宋体"/>
              </w:rPr>
              <w:t xml:space="preserve">分，采用系统原型（DEMO）、PPT等方式演示最多得6分。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sz w:val="24"/>
                <w:szCs w:val="24"/>
              </w:rPr>
              <w:t xml:space="preserve">注：</w:t>
            </w:r>
            <w:r>
              <w:rPr>
                <w:rFonts w:hint="eastAsia" w:ascii="宋体" w:hAnsi="宋体" w:cs="宋体"/>
              </w:rPr>
              <w:t xml:space="preserve">投标人未提供视频文件或因投标人自身原因视频文件无法打开或视频画面不清晰无法辨认的不得分。</w:t>
            </w:r>
            <w:r>
              <w:rPr>
                <w:rFonts w:hint="eastAsia" w:ascii="宋体" w:hAnsi="宋体" w:cs="宋体"/>
              </w:rPr>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889"/>
        </w:trPr>
        <w:tc>
          <w:tcPr>
            <w:tcW w:w="519"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rPr>
              <w:t xml:space="preserve">2.4</w:t>
            </w:r>
            <w:r>
              <w:rPr>
                <w:rFonts w:hint="eastAsia" w:ascii="宋体" w:hAnsi="宋体" w:cs="宋体"/>
              </w:rPr>
            </w:r>
            <w:r/>
          </w:p>
        </w:tc>
        <w:tc>
          <w:tcPr>
            <w:tcW w:w="1179"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数据安全体系建设方案</w:t>
            </w:r>
            <w:r>
              <w:rPr>
                <w:rFonts w:hint="eastAsia" w:ascii="宋体" w:hAnsi="宋体" w:cs="宋体"/>
              </w:rPr>
            </w:r>
            <w:r/>
          </w:p>
        </w:tc>
        <w:tc>
          <w:tcPr>
            <w:tcW w:w="6330" w:type="dxa"/>
            <w:vAlign w:val="center"/>
            <w:textDirection w:val="lrTb"/>
            <w:noWrap w:val="false"/>
          </w:tcPr>
          <w:p>
            <w:pPr>
              <w:pStyle w:val="988"/>
              <w:rPr>
                <w:rFonts w:hint="eastAsia"/>
                <w:sz w:val="21"/>
                <w:szCs w:val="21"/>
                <w:lang w:val="en-US" w:bidi="ar-SA"/>
              </w:rPr>
            </w:pPr>
            <w:r>
              <w:rPr>
                <w:rFonts w:hint="eastAsia"/>
                <w:sz w:val="21"/>
                <w:szCs w:val="21"/>
                <w:lang w:val="en-US" w:bidi="ar-SA"/>
              </w:rPr>
              <w:t xml:space="preserve">评委根据投标人提供的数据安全体系建设方案综合评分，包含：1.建设目标</w:t>
            </w:r>
            <w:r>
              <w:rPr>
                <w:rFonts w:hint="eastAsia"/>
                <w:sz w:val="21"/>
                <w:szCs w:val="21"/>
                <w:lang w:val="en-US" w:eastAsia="zh-CN" w:bidi="ar-SA"/>
              </w:rPr>
              <w:t xml:space="preserve">及</w:t>
            </w:r>
            <w:r>
              <w:rPr>
                <w:rFonts w:hint="eastAsia"/>
                <w:sz w:val="21"/>
                <w:szCs w:val="21"/>
                <w:lang w:bidi="ar"/>
              </w:rPr>
              <w:t xml:space="preserve">总体架构</w:t>
            </w:r>
            <w:r>
              <w:rPr>
                <w:rFonts w:hint="eastAsia"/>
                <w:sz w:val="21"/>
                <w:szCs w:val="21"/>
                <w:lang w:val="en-US" w:bidi="ar-SA"/>
              </w:rPr>
              <w:t xml:space="preserve">；</w:t>
            </w:r>
            <w:r>
              <w:rPr>
                <w:rFonts w:hint="eastAsia"/>
                <w:sz w:val="21"/>
                <w:szCs w:val="21"/>
                <w:lang w:val="en-US" w:eastAsia="zh-CN" w:bidi="ar-SA"/>
              </w:rPr>
              <w:t xml:space="preserve">2</w:t>
            </w:r>
            <w:r>
              <w:rPr>
                <w:rFonts w:hint="eastAsia"/>
                <w:sz w:val="21"/>
                <w:szCs w:val="21"/>
                <w:lang w:val="en-US" w:bidi="ar-SA"/>
              </w:rPr>
              <w:t xml:space="preserve">.数据安全建设方案；</w:t>
            </w:r>
            <w:r>
              <w:rPr>
                <w:rFonts w:hint="eastAsia"/>
                <w:sz w:val="21"/>
                <w:szCs w:val="21"/>
                <w:lang w:val="en-US" w:eastAsia="zh-CN" w:bidi="ar-SA"/>
              </w:rPr>
              <w:t xml:space="preserve">3</w:t>
            </w:r>
            <w:r>
              <w:rPr>
                <w:rFonts w:hint="eastAsia"/>
                <w:sz w:val="21"/>
                <w:szCs w:val="21"/>
                <w:lang w:val="en-US" w:bidi="ar-SA"/>
              </w:rPr>
              <w:t xml:space="preserve">.系统对接方案。以上每项内容逐条阐述。</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（1）上述每项内容完整，科学合理、操作性强的，得</w:t>
            </w:r>
            <w:r>
              <w:rPr>
                <w:rFonts w:hint="eastAsia"/>
                <w:sz w:val="21"/>
                <w:szCs w:val="21"/>
                <w:lang w:val="en-US" w:eastAsia="zh-CN" w:bidi="ar-SA"/>
              </w:rPr>
              <w:t xml:space="preserve">1</w:t>
            </w:r>
            <w:r>
              <w:rPr>
                <w:rFonts w:hint="eastAsia"/>
                <w:sz w:val="21"/>
                <w:szCs w:val="21"/>
                <w:lang w:val="en-US" w:bidi="ar-SA"/>
              </w:rPr>
              <w:t xml:space="preserve">分； </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w:t>
            </w:r>
            <w:r>
              <w:rPr>
                <w:rFonts w:hint="eastAsia"/>
                <w:sz w:val="21"/>
                <w:szCs w:val="21"/>
                <w:lang w:val="en-US" w:eastAsia="zh-CN" w:bidi="ar-SA"/>
              </w:rPr>
              <w:t xml:space="preserve">0.5</w:t>
            </w:r>
            <w:r>
              <w:rPr>
                <w:rFonts w:hint="eastAsia"/>
                <w:sz w:val="21"/>
                <w:szCs w:val="21"/>
                <w:lang w:val="en-US" w:bidi="ar-SA"/>
              </w:rPr>
              <w:t xml:space="preserve">分； </w:t>
            </w:r>
            <w:r>
              <w:rPr>
                <w:rFonts w:hint="eastAsia"/>
                <w:sz w:val="21"/>
                <w:szCs w:val="21"/>
                <w:lang w:val="en-US" w:bidi="ar-SA"/>
              </w:rPr>
            </w:r>
            <w:r/>
          </w:p>
          <w:p>
            <w:pPr>
              <w:pStyle w:val="869"/>
              <w:spacing w:line="264" w:lineRule="auto"/>
              <w:rPr>
                <w:rFonts w:hint="eastAsia" w:ascii="宋体" w:hAnsi="宋体" w:cs="宋体"/>
              </w:rPr>
            </w:pPr>
            <w:r>
              <w:rPr>
                <w:rFonts w:hint="eastAsia" w:ascii="宋体" w:hAnsi="宋体" w:cs="宋体"/>
              </w:rPr>
              <w:t xml:space="preserve">（3）上述每项内容不科学合理、无操作性或未提供的不得分。</w:t>
            </w:r>
            <w:r>
              <w:rPr>
                <w:rFonts w:hint="eastAsia" w:ascii="宋体" w:hAnsi="宋体" w:cs="宋体"/>
              </w:rPr>
            </w:r>
            <w:r/>
          </w:p>
        </w:tc>
        <w:tc>
          <w:tcPr>
            <w:tcW w:w="647" w:type="dxa"/>
            <w:vAlign w:val="center"/>
            <w:textDirection w:val="lrTb"/>
            <w:noWrap w:val="false"/>
          </w:tcPr>
          <w:p>
            <w:pPr>
              <w:pStyle w:val="869"/>
              <w:jc w:val="center"/>
              <w:spacing w:line="264" w:lineRule="auto"/>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W w:w="900"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889"/>
        </w:trPr>
        <w:tc>
          <w:tcPr>
            <w:tcW w:w="519" w:type="dxa"/>
            <w:vAlign w:val="center"/>
            <w:textDirection w:val="lrTb"/>
            <w:noWrap w:val="false"/>
          </w:tcPr>
          <w:p>
            <w:pPr>
              <w:pStyle w:val="869"/>
              <w:jc w:val="center"/>
              <w:spacing w:line="264" w:lineRule="auto"/>
              <w:rPr>
                <w:rFonts w:ascii="宋体" w:hAnsi="宋体" w:cs="宋体"/>
              </w:rPr>
            </w:pPr>
            <w:r>
              <w:rPr>
                <w:rFonts w:hint="eastAsia" w:ascii="宋体" w:hAnsi="宋体" w:cs="宋体"/>
              </w:rPr>
              <w:t xml:space="preserve">2.5</w:t>
            </w:r>
            <w:r>
              <w:rPr>
                <w:rFonts w:ascii="宋体" w:hAnsi="宋体" w:cs="宋体"/>
              </w:rPr>
            </w:r>
            <w:r/>
          </w:p>
        </w:tc>
        <w:tc>
          <w:tcPr>
            <w:tcW w:w="1179" w:type="dxa"/>
            <w:vAlign w:val="center"/>
            <w:textDirection w:val="lrTb"/>
            <w:noWrap w:val="false"/>
          </w:tcPr>
          <w:p>
            <w:pPr>
              <w:pStyle w:val="869"/>
              <w:spacing w:line="264" w:lineRule="auto"/>
              <w:rPr>
                <w:rFonts w:ascii="宋体" w:hAnsi="宋体" w:cs="宋体"/>
              </w:rPr>
            </w:pPr>
            <w:r>
              <w:rPr>
                <w:rFonts w:hint="eastAsia" w:ascii="宋体" w:hAnsi="宋体" w:cs="宋体"/>
              </w:rPr>
              <w:t xml:space="preserve">密码安全体系建设方案</w:t>
            </w:r>
            <w:r>
              <w:rPr>
                <w:rFonts w:ascii="宋体" w:hAnsi="宋体" w:cs="宋体"/>
              </w:rPr>
            </w:r>
            <w:r/>
          </w:p>
        </w:tc>
        <w:tc>
          <w:tcPr>
            <w:tcW w:w="6330" w:type="dxa"/>
            <w:vAlign w:val="center"/>
            <w:textDirection w:val="lrTb"/>
            <w:noWrap w:val="false"/>
          </w:tcPr>
          <w:p>
            <w:pPr>
              <w:pStyle w:val="988"/>
              <w:rPr>
                <w:rFonts w:hint="eastAsia"/>
                <w:sz w:val="21"/>
                <w:szCs w:val="21"/>
                <w:lang w:val="en-US" w:bidi="ar-SA"/>
              </w:rPr>
            </w:pPr>
            <w:r>
              <w:rPr>
                <w:rFonts w:hint="eastAsia"/>
                <w:sz w:val="21"/>
                <w:szCs w:val="21"/>
                <w:lang w:val="en-US" w:bidi="ar-SA"/>
              </w:rPr>
              <w:t xml:space="preserve">评委根据投标人提供的</w:t>
            </w:r>
            <w:r>
              <w:rPr>
                <w:rFonts w:hint="eastAsia"/>
                <w:szCs w:val="21"/>
                <w:lang w:val="en-US"/>
              </w:rPr>
              <w:t xml:space="preserve">密码安全体系建设方案</w:t>
            </w:r>
            <w:r>
              <w:rPr>
                <w:rFonts w:hint="eastAsia"/>
                <w:sz w:val="21"/>
                <w:szCs w:val="21"/>
                <w:lang w:val="en-US" w:bidi="ar-SA"/>
              </w:rPr>
              <w:t xml:space="preserve">综合评分，包含：1.</w:t>
            </w:r>
            <w:r>
              <w:rPr>
                <w:rFonts w:hint="eastAsia"/>
                <w:color w:val="000000"/>
                <w:sz w:val="21"/>
                <w:szCs w:val="21"/>
                <w:lang w:bidi="ar"/>
              </w:rPr>
              <w:t xml:space="preserve">建设目标</w:t>
            </w:r>
            <w:r>
              <w:rPr>
                <w:rFonts w:hint="eastAsia"/>
                <w:sz w:val="21"/>
                <w:szCs w:val="21"/>
                <w:lang w:val="en-US" w:bidi="ar-SA"/>
              </w:rPr>
              <w:t xml:space="preserve">；2.机房国密改造方案；3.政务云平台国密改造方案。以上每项内容逐条阐述。</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（1）上述每项内容完整，科学合理、操作性强的，得</w:t>
            </w:r>
            <w:r>
              <w:rPr>
                <w:rFonts w:hint="eastAsia"/>
                <w:sz w:val="21"/>
                <w:szCs w:val="21"/>
                <w:lang w:val="en-US" w:eastAsia="zh-CN" w:bidi="ar-SA"/>
              </w:rPr>
              <w:t xml:space="preserve">1</w:t>
            </w:r>
            <w:r>
              <w:rPr>
                <w:rFonts w:hint="eastAsia"/>
                <w:sz w:val="21"/>
                <w:szCs w:val="21"/>
                <w:lang w:val="en-US" w:bidi="ar-SA"/>
              </w:rPr>
              <w:t xml:space="preserve">分； </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w:t>
            </w:r>
            <w:r>
              <w:rPr>
                <w:rFonts w:hint="eastAsia"/>
                <w:sz w:val="21"/>
                <w:szCs w:val="21"/>
                <w:lang w:val="en-US" w:eastAsia="zh-CN" w:bidi="ar-SA"/>
              </w:rPr>
              <w:t xml:space="preserve">0.5</w:t>
            </w:r>
            <w:r>
              <w:rPr>
                <w:rFonts w:hint="eastAsia"/>
                <w:sz w:val="21"/>
                <w:szCs w:val="21"/>
                <w:lang w:val="en-US" w:bidi="ar-SA"/>
              </w:rPr>
              <w:t xml:space="preserve">分； </w:t>
            </w:r>
            <w:r>
              <w:rPr>
                <w:rFonts w:hint="eastAsia"/>
                <w:sz w:val="21"/>
                <w:szCs w:val="21"/>
                <w:lang w:val="en-US" w:bidi="ar-SA"/>
              </w:rPr>
            </w:r>
            <w:r/>
          </w:p>
          <w:p>
            <w:pPr>
              <w:pStyle w:val="869"/>
              <w:jc w:val="left"/>
              <w:spacing w:line="264" w:lineRule="auto"/>
              <w:rPr>
                <w:rFonts w:hint="eastAsia" w:ascii="宋体" w:hAnsi="宋体" w:cs="宋体"/>
              </w:rPr>
            </w:pPr>
            <w:r>
              <w:rPr>
                <w:rFonts w:hint="eastAsia" w:ascii="宋体" w:hAnsi="宋体" w:cs="宋体"/>
              </w:rPr>
              <w:t xml:space="preserve">（3）上述每项内容不科学合理、无操作性或未提供的不得分。</w:t>
            </w:r>
            <w:r>
              <w:rPr>
                <w:rFonts w:hint="eastAsia" w:ascii="宋体" w:hAnsi="宋体" w:cs="宋体"/>
              </w:rPr>
            </w:r>
            <w:r/>
          </w:p>
        </w:tc>
        <w:tc>
          <w:tcPr>
            <w:tcW w:w="647" w:type="dxa"/>
            <w:vAlign w:val="center"/>
            <w:textDirection w:val="lrTb"/>
            <w:noWrap w:val="false"/>
          </w:tcPr>
          <w:p>
            <w:pPr>
              <w:pStyle w:val="869"/>
              <w:jc w:val="center"/>
              <w:spacing w:line="264" w:lineRule="auto"/>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W w:w="900" w:type="dxa"/>
            <w:vAlign w:val="center"/>
            <w:textDirection w:val="lrTb"/>
            <w:noWrap w:val="false"/>
          </w:tcPr>
          <w:p>
            <w:pPr>
              <w:pStyle w:val="869"/>
              <w:jc w:val="center"/>
              <w:spacing w:line="264" w:lineRule="auto"/>
              <w:rPr>
                <w:rFonts w:ascii="宋体" w:hAnsi="宋体" w:cs="宋体"/>
              </w:rPr>
            </w:pPr>
            <w:r>
              <w:rPr>
                <w:rFonts w:hint="eastAsia" w:ascii="宋体" w:hAnsi="宋体" w:cs="宋体"/>
              </w:rPr>
              <w:t xml:space="preserve">主观分</w:t>
            </w:r>
            <w:r>
              <w:rPr>
                <w:rFonts w:ascii="宋体" w:hAnsi="宋体" w:cs="宋体"/>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rPr>
            </w:pPr>
            <w:r>
              <w:rPr>
                <w:rFonts w:hint="eastAsia" w:ascii="宋体" w:hAnsi="宋体" w:cs="宋体"/>
              </w:rPr>
              <w:t xml:space="preserve">项目实施方案</w:t>
            </w:r>
            <w:r>
              <w:rPr>
                <w:rFonts w:hint="eastAsia" w:ascii="宋体" w:hAnsi="宋体" w:cs="宋体"/>
              </w:rPr>
            </w:r>
            <w:r/>
          </w:p>
        </w:tc>
        <w:tc>
          <w:tcPr>
            <w:tcW w:w="6330" w:type="dxa"/>
            <w:vAlign w:val="center"/>
            <w:textDirection w:val="lrTb"/>
            <w:noWrap w:val="false"/>
          </w:tcPr>
          <w:p>
            <w:pPr>
              <w:pStyle w:val="988"/>
              <w:rPr>
                <w:rFonts w:hint="eastAsia"/>
                <w:sz w:val="21"/>
                <w:szCs w:val="21"/>
                <w:lang w:val="en-US" w:bidi="ar-SA"/>
              </w:rPr>
            </w:pPr>
            <w:r>
              <w:rPr>
                <w:rFonts w:hint="eastAsia"/>
                <w:sz w:val="21"/>
                <w:szCs w:val="21"/>
                <w:lang w:val="en-US" w:bidi="ar-SA"/>
              </w:rPr>
              <w:t xml:space="preserve">评委根据投标人提供的项目实施方案综合评分，包含：1.供货进度保证措施；2.质量保证措施</w:t>
            </w:r>
            <w:r>
              <w:rPr>
                <w:rFonts w:hint="eastAsia"/>
                <w:sz w:val="21"/>
                <w:szCs w:val="21"/>
                <w:lang w:val="en-US" w:eastAsia="zh-CN" w:bidi="ar-SA"/>
              </w:rPr>
              <w:t xml:space="preserve">及</w:t>
            </w:r>
            <w:r>
              <w:rPr>
                <w:rFonts w:hint="eastAsia"/>
                <w:sz w:val="21"/>
                <w:szCs w:val="21"/>
                <w:lang w:val="en-US" w:bidi="ar-SA"/>
              </w:rPr>
              <w:t xml:space="preserve">协调配合措施；</w:t>
            </w:r>
            <w:r>
              <w:rPr>
                <w:rFonts w:hint="eastAsia"/>
                <w:sz w:val="21"/>
                <w:szCs w:val="21"/>
                <w:lang w:val="en-US" w:eastAsia="zh-CN" w:bidi="ar-SA"/>
              </w:rPr>
              <w:t xml:space="preserve">3</w:t>
            </w:r>
            <w:r>
              <w:rPr>
                <w:rFonts w:hint="eastAsia"/>
                <w:sz w:val="21"/>
                <w:szCs w:val="21"/>
                <w:lang w:val="en-US" w:bidi="ar-SA"/>
              </w:rPr>
              <w:t xml:space="preserve">.验收措施。以上每项内容逐条阐述。</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988"/>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W w:w="6330" w:type="dxa"/>
            <w:vAlign w:val="center"/>
            <w:textDirection w:val="lrTb"/>
            <w:noWrap w:val="false"/>
          </w:tcPr>
          <w:p>
            <w:pPr>
              <w:pStyle w:val="988"/>
              <w:spacing w:line="264" w:lineRule="auto"/>
              <w:rPr>
                <w:rFonts w:hint="eastAsia"/>
                <w:sz w:val="21"/>
                <w:szCs w:val="21"/>
                <w:lang w:val="en-US" w:bidi="ar-SA"/>
              </w:rPr>
            </w:pPr>
            <w:r>
              <w:rPr>
                <w:rFonts w:hint="eastAsia"/>
                <w:sz w:val="21"/>
                <w:szCs w:val="21"/>
                <w:lang w:val="en-US" w:bidi="ar-SA"/>
              </w:rPr>
              <w:t xml:space="preserve">评委根据投标人提供的项目售后服务方案综合评分，包含：1.售后服务内容；2.</w:t>
            </w:r>
            <w:r>
              <w:rPr>
                <w:sz w:val="21"/>
                <w:szCs w:val="21"/>
                <w:lang w:val="en-US"/>
              </w:rPr>
              <w:t xml:space="preserve">服务流程</w:t>
            </w:r>
            <w:r>
              <w:rPr>
                <w:rFonts w:hint="eastAsia"/>
                <w:sz w:val="21"/>
                <w:szCs w:val="21"/>
                <w:lang w:val="en-US" w:eastAsia="zh-CN"/>
              </w:rPr>
              <w:t xml:space="preserve">及</w:t>
            </w:r>
            <w:r>
              <w:rPr>
                <w:rFonts w:hint="eastAsia"/>
                <w:sz w:val="21"/>
                <w:szCs w:val="21"/>
                <w:lang w:val="en-US" w:bidi="ar-SA"/>
              </w:rPr>
              <w:t xml:space="preserve">售后服务体系</w:t>
            </w:r>
            <w:r>
              <w:rPr>
                <w:rFonts w:hint="eastAsia"/>
                <w:sz w:val="21"/>
                <w:szCs w:val="21"/>
                <w:lang w:val="en-US"/>
              </w:rPr>
              <w:t xml:space="preserve">；3.</w:t>
            </w:r>
            <w:r>
              <w:rPr>
                <w:rFonts w:hint="eastAsia"/>
                <w:sz w:val="21"/>
                <w:szCs w:val="21"/>
                <w:lang w:val="en-US" w:bidi="ar-SA"/>
              </w:rPr>
              <w:t xml:space="preserve">故障解决方案。以上每项内容逐条阐述。</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rPr>
                <w:rFonts w:hint="eastAsia"/>
                <w:sz w:val="21"/>
                <w:szCs w:val="21"/>
                <w:lang w:val="en-US" w:bidi="ar-SA"/>
              </w:rPr>
            </w:r>
            <w:r/>
          </w:p>
          <w:p>
            <w:pPr>
              <w:pStyle w:val="988"/>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rPr>
                <w:rFonts w:hint="eastAsia"/>
                <w:sz w:val="21"/>
                <w:szCs w:val="21"/>
                <w:lang w:val="en-US"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ascii="宋体" w:hAnsi="宋体" w:cs="宋体"/>
              </w:rPr>
            </w:pPr>
            <w:r>
              <w:rPr>
                <w:rFonts w:hint="eastAsia" w:ascii="宋体" w:hAnsi="宋体" w:cs="宋体"/>
              </w:rPr>
              <w:t xml:space="preserve">安全培训服务方案</w:t>
            </w:r>
            <w:r>
              <w:rPr>
                <w:rFonts w:ascii="宋体" w:hAnsi="宋体" w:cs="宋体"/>
              </w:rPr>
            </w:r>
            <w:r/>
          </w:p>
        </w:tc>
        <w:tc>
          <w:tcPr>
            <w:tcW w:w="6330" w:type="dxa"/>
            <w:vAlign w:val="center"/>
            <w:textDirection w:val="lrTb"/>
            <w:noWrap w:val="false"/>
          </w:tcPr>
          <w:p>
            <w:pPr>
              <w:pStyle w:val="869"/>
              <w:jc w:val="left"/>
              <w:spacing w:line="264" w:lineRule="auto"/>
              <w:widowControl/>
              <w:rPr>
                <w:rFonts w:ascii="宋体" w:hAnsi="宋体" w:cs="宋体"/>
              </w:rPr>
            </w:pPr>
            <w:r>
              <w:rPr>
                <w:rFonts w:ascii="宋体" w:hAnsi="宋体" w:cs="宋体"/>
              </w:rPr>
              <w:t xml:space="preserve">评委根据投标人提供的</w:t>
            </w:r>
            <w:r>
              <w:rPr>
                <w:rFonts w:hint="eastAsia" w:ascii="宋体" w:hAnsi="宋体" w:cs="宋体"/>
              </w:rPr>
              <w:t xml:space="preserve">安全</w:t>
            </w:r>
            <w:r>
              <w:rPr>
                <w:rFonts w:ascii="宋体" w:hAnsi="宋体" w:cs="宋体"/>
              </w:rPr>
              <w:t xml:space="preserve">培训</w:t>
            </w:r>
            <w:r>
              <w:rPr>
                <w:rFonts w:hint="eastAsia" w:ascii="宋体" w:hAnsi="宋体" w:cs="宋体"/>
              </w:rPr>
              <w:t xml:space="preserve">服务</w:t>
            </w:r>
            <w:r>
              <w:rPr>
                <w:rFonts w:ascii="宋体" w:hAnsi="宋体" w:cs="宋体"/>
              </w:rPr>
              <w:t xml:space="preserve">方案</w:t>
            </w:r>
            <w:r>
              <w:rPr>
                <w:rFonts w:hint="eastAsia" w:ascii="宋体" w:hAnsi="宋体" w:cs="宋体"/>
              </w:rPr>
              <w:t xml:space="preserve">评分，包含：1.</w:t>
            </w:r>
            <w:r>
              <w:rPr>
                <w:rFonts w:ascii="宋体" w:hAnsi="宋体" w:cs="宋体"/>
              </w:rPr>
              <w:t xml:space="preserve">培训</w:t>
            </w:r>
            <w:r>
              <w:rPr>
                <w:rFonts w:hint="eastAsia" w:ascii="宋体" w:hAnsi="宋体" w:cs="宋体"/>
              </w:rPr>
              <w:t xml:space="preserve">内容；2.培训方式</w:t>
            </w:r>
            <w:r>
              <w:rPr>
                <w:rFonts w:hint="eastAsia" w:ascii="宋体" w:hAnsi="宋体" w:cs="宋体"/>
                <w:lang w:val="en-US" w:eastAsia="zh-CN"/>
              </w:rPr>
              <w:t xml:space="preserve">及</w:t>
            </w:r>
            <w:r>
              <w:rPr>
                <w:rFonts w:hint="eastAsia" w:ascii="宋体" w:hAnsi="宋体" w:cs="宋体"/>
              </w:rPr>
              <w:t xml:space="preserve">培训频次；</w:t>
            </w:r>
            <w:r>
              <w:rPr>
                <w:rFonts w:hint="eastAsia" w:ascii="宋体" w:hAnsi="宋体" w:cs="宋体"/>
                <w:lang w:val="en-US" w:eastAsia="zh-CN"/>
              </w:rPr>
              <w:t xml:space="preserve">3</w:t>
            </w:r>
            <w:r>
              <w:rPr>
                <w:rFonts w:hint="eastAsia" w:ascii="宋体" w:hAnsi="宋体" w:cs="宋体"/>
              </w:rPr>
              <w:t xml:space="preserve">.培训</w:t>
            </w:r>
            <w:r>
              <w:rPr>
                <w:rFonts w:ascii="宋体" w:hAnsi="宋体" w:cs="宋体"/>
              </w:rPr>
              <w:t xml:space="preserve">师资</w:t>
            </w:r>
            <w:r>
              <w:rPr>
                <w:rFonts w:hint="eastAsia" w:ascii="宋体" w:hAnsi="宋体" w:cs="宋体"/>
              </w:rPr>
              <w:t xml:space="preserve">。以上每项内容逐条阐述。</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上述每项</w:t>
            </w:r>
            <w:r>
              <w:rPr>
                <w:rFonts w:ascii="宋体" w:hAnsi="宋体" w:cs="宋体"/>
              </w:rPr>
              <w:t xml:space="preserve">方案完整详细、针对性强的，得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上述每项</w:t>
            </w:r>
            <w:r>
              <w:rPr>
                <w:rFonts w:ascii="宋体" w:hAnsi="宋体" w:cs="宋体"/>
              </w:rPr>
              <w:t xml:space="preserve">方案基本满足采购需求，有一定针对性的，得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869"/>
              <w:jc w:val="left"/>
              <w:spacing w:line="264" w:lineRule="auto"/>
              <w:widowControl/>
              <w:rPr>
                <w:rFonts w:hint="eastAsia" w:ascii="宋体" w:hAnsi="宋体" w:cs="宋体"/>
                <w:szCs w:val="22"/>
              </w:rPr>
            </w:pPr>
            <w:r>
              <w:rPr>
                <w:rFonts w:ascii="宋体" w:hAnsi="宋体" w:cs="宋体"/>
              </w:rPr>
              <w:t xml:space="preserve">（</w:t>
            </w:r>
            <w:r>
              <w:rPr>
                <w:rFonts w:hint="eastAsia" w:ascii="宋体" w:hAnsi="宋体" w:cs="宋体"/>
              </w:rPr>
              <w:t xml:space="preserve">3</w:t>
            </w:r>
            <w:r>
              <w:rPr>
                <w:rFonts w:ascii="宋体" w:hAnsi="宋体" w:cs="宋体"/>
              </w:rPr>
              <w:t xml:space="preserve">）</w:t>
            </w:r>
            <w:r>
              <w:rPr>
                <w:rFonts w:hint="eastAsia" w:ascii="宋体" w:hAnsi="宋体" w:cs="宋体"/>
              </w:rPr>
              <w:t xml:space="preserve">上述每项</w:t>
            </w:r>
            <w:r>
              <w:rPr>
                <w:rFonts w:ascii="宋体" w:hAnsi="宋体" w:cs="宋体"/>
              </w:rPr>
              <w:t xml:space="preserve">方案没有针对性或未提供方案的不得分。</w:t>
            </w:r>
            <w:r>
              <w:rPr>
                <w:rFonts w:hint="eastAsia" w:ascii="宋体" w:hAnsi="宋体" w:cs="宋体"/>
                <w:szCs w:val="22"/>
              </w:rPr>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3.4</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rPr>
            </w:pPr>
            <w:r>
              <w:rPr>
                <w:rFonts w:hint="eastAsia" w:ascii="宋体" w:hAnsi="宋体" w:cs="宋体"/>
              </w:rPr>
              <w:t xml:space="preserve">本地化服务能力</w:t>
            </w:r>
            <w:r>
              <w:rPr>
                <w:rFonts w:hint="eastAsia" w:ascii="宋体" w:hAnsi="宋体" w:cs="宋体"/>
              </w:rPr>
            </w:r>
            <w:r/>
          </w:p>
        </w:tc>
        <w:tc>
          <w:tcPr>
            <w:tcW w:w="6330" w:type="dxa"/>
            <w:vAlign w:val="center"/>
            <w:textDirection w:val="lrTb"/>
            <w:noWrap w:val="false"/>
          </w:tcPr>
          <w:p>
            <w:pPr>
              <w:pStyle w:val="869"/>
              <w:jc w:val="left"/>
              <w:widowControl/>
              <w:rPr>
                <w:rFonts w:hint="eastAsia" w:ascii="宋体" w:hAnsi="宋体" w:cs="宋体"/>
                <w:color w:val="000000"/>
              </w:rPr>
            </w:pPr>
            <w:r>
              <w:rPr>
                <w:rFonts w:hint="eastAsia" w:ascii="宋体" w:hAnsi="宋体" w:cs="宋体"/>
                <w:color w:val="000000"/>
                <w:lang w:bidi="ar"/>
              </w:rPr>
              <w:t xml:space="preserve">投标人具有本地化服务能力的得2分，未提供不得分（提供有效证明材料或承诺书，承诺书格式自拟）。</w:t>
            </w:r>
            <w:r>
              <w:rPr>
                <w:rFonts w:hint="eastAsia" w:ascii="宋体" w:hAnsi="宋体" w:cs="宋体"/>
                <w:color w:val="000000"/>
              </w:rPr>
            </w:r>
            <w:r/>
          </w:p>
        </w:tc>
        <w:tc>
          <w:tcPr>
            <w:tcW w:w="647" w:type="dxa"/>
            <w:vAlign w:val="center"/>
            <w:textDirection w:val="lrTb"/>
            <w:noWrap w:val="false"/>
          </w:tcPr>
          <w:p>
            <w:pPr>
              <w:pStyle w:val="869"/>
              <w:jc w:val="center"/>
              <w:widowControl/>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W w:w="900" w:type="dxa"/>
            <w:vAlign w:val="center"/>
            <w:textDirection w:val="lrTb"/>
            <w:noWrap w:val="false"/>
          </w:tcPr>
          <w:p>
            <w:pPr>
              <w:pStyle w:val="869"/>
              <w:jc w:val="center"/>
              <w:widowControl/>
              <w:rPr>
                <w:rFonts w:ascii="宋体" w:hAnsi="宋体" w:cs="宋体"/>
                <w:color w:val="000000"/>
              </w:rPr>
            </w:pPr>
            <w:r>
              <w:rPr>
                <w:rFonts w:hint="eastAsia" w:ascii="宋体" w:hAnsi="宋体" w:cs="宋体"/>
                <w:color w:val="000000"/>
                <w:lang w:bidi="ar"/>
              </w:rPr>
              <w:t xml:space="preserve">客观分</w:t>
            </w:r>
            <w:r>
              <w:rPr>
                <w:rFonts w:ascii="宋体" w:hAnsi="宋体" w:cs="宋体"/>
                <w:color w:val="000000"/>
              </w:rPr>
            </w:r>
            <w:r/>
          </w:p>
        </w:tc>
      </w:tr>
      <w:tr>
        <w:trPr>
          <w:trHeight w:val="455"/>
        </w:trPr>
        <w:tc>
          <w:tcPr>
            <w:gridSpan w:val="5"/>
            <w:tcW w:w="9575" w:type="dxa"/>
            <w:vAlign w:val="center"/>
            <w:textDirection w:val="lrTb"/>
            <w:noWrap w:val="false"/>
          </w:tcPr>
          <w:p>
            <w:pPr>
              <w:pStyle w:val="869"/>
              <w:spacing w:line="264" w:lineRule="auto"/>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015"/>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4.1</w:t>
            </w:r>
            <w:r>
              <w:rPr>
                <w:rFonts w:hint="eastAsia" w:ascii="宋体" w:hAnsi="宋体" w:cs="宋体"/>
                <w:spacing w:val="-2"/>
              </w:rPr>
            </w:r>
            <w:r/>
          </w:p>
        </w:tc>
        <w:tc>
          <w:tcPr>
            <w:tcW w:w="1179" w:type="dxa"/>
            <w:vAlign w:val="center"/>
            <w:textDirection w:val="lrTb"/>
            <w:noWrap w:val="false"/>
          </w:tcPr>
          <w:p>
            <w:pPr>
              <w:pStyle w:val="869"/>
              <w:spacing w:before="69" w:line="264" w:lineRule="auto"/>
              <w:rPr>
                <w:rFonts w:hint="eastAsia"/>
              </w:rPr>
            </w:pPr>
            <w:r>
              <w:rPr>
                <w:rFonts w:hint="eastAsia" w:ascii="宋体" w:hAnsi="宋体" w:cs="宋体"/>
                <w:spacing w:val="-1"/>
              </w:rPr>
              <w:t xml:space="preserve">投标人业绩</w:t>
            </w:r>
            <w:r>
              <w:rPr>
                <w:rFonts w:hint="eastAsia"/>
              </w:rPr>
            </w:r>
            <w:r/>
          </w:p>
        </w:tc>
        <w:tc>
          <w:tcPr>
            <w:tcW w:w="6330" w:type="dxa"/>
            <w:vAlign w:val="center"/>
            <w:textDirection w:val="lrTb"/>
            <w:noWrap w:val="false"/>
          </w:tcPr>
          <w:p>
            <w:pPr>
              <w:pStyle w:val="869"/>
              <w:spacing w:line="264" w:lineRule="auto"/>
              <w:rPr>
                <w:rFonts w:ascii="宋体" w:hAnsi="宋体" w:cs="宋体"/>
                <w:lang w:bidi="zh-CN"/>
              </w:rPr>
            </w:pPr>
            <w:r>
              <w:rPr>
                <w:rFonts w:hint="eastAsia" w:ascii="宋体" w:hAnsi="宋体" w:cs="宋体"/>
              </w:rPr>
              <w:t xml:space="preserve">投标人提供2022年1月1日（含）以来类似项目业绩（至少包含“数据采集分析”或“API审计”或“密钥管理”），每提供1个得2分，最多得6分。（时间以合同签订时间为准，提供有效合同，含合同首页、标的清单页、金额页、合同缔约双方签字盖章页等，须清晰可见相应内容）</w:t>
            </w:r>
            <w:r>
              <w:rPr>
                <w:rFonts w:ascii="宋体" w:hAnsi="宋体" w:cs="宋体"/>
                <w:lang w:bidi="zh-CN"/>
              </w:rPr>
            </w:r>
            <w:r/>
          </w:p>
        </w:tc>
        <w:tc>
          <w:tcPr>
            <w:tcW w:w="647"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269"/>
        </w:trPr>
        <w:tc>
          <w:tcPr>
            <w:gridSpan w:val="5"/>
            <w:tcW w:w="9575" w:type="dxa"/>
            <w:vAlign w:val="top"/>
            <w:textDirection w:val="lrTb"/>
            <w:noWrap w:val="false"/>
          </w:tcPr>
          <w:p>
            <w:pPr>
              <w:pStyle w:val="869"/>
              <w:spacing w:before="123" w:line="264" w:lineRule="auto"/>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387"/>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5.1</w:t>
            </w:r>
            <w:r>
              <w:rPr>
                <w:rFonts w:hint="eastAsia" w:ascii="宋体" w:hAnsi="宋体" w:cs="宋体"/>
                <w:spacing w:val="-2"/>
              </w:rPr>
            </w:r>
            <w:r/>
          </w:p>
        </w:tc>
        <w:tc>
          <w:tcPr>
            <w:tcW w:w="1179"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履约能力1</w:t>
            </w:r>
            <w:r>
              <w:rPr>
                <w:rFonts w:hint="eastAsia" w:ascii="宋体" w:hAnsi="宋体" w:cs="宋体"/>
              </w:rPr>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投标人拟投入本项目的项目负责人：</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(1)具有数字经济类（或电子信息类）高级工程师或以上职称证书的，得2分。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(2)具有计算机技术与软件专业技术资格系统集成项目管理师证书的，得1分。</w:t>
            </w:r>
            <w:r>
              <w:rPr>
                <w:rFonts w:hint="eastAsia" w:ascii="宋体" w:hAnsi="宋体" w:cs="宋体"/>
              </w:rPr>
            </w:r>
            <w:r/>
          </w:p>
          <w:p>
            <w:pPr>
              <w:pStyle w:val="869"/>
              <w:spacing w:line="264" w:lineRule="auto"/>
              <w:rPr>
                <w:rFonts w:hint="eastAsia" w:ascii="宋体" w:hAnsi="宋体" w:cs="宋体"/>
              </w:rPr>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rPr>
              <w:t xml:space="preserve">及投标人为其缴纳的2025年6月以来任意一个月的社保证明材料，缺一不可</w:t>
            </w:r>
            <w:r>
              <w:rPr>
                <w:rFonts w:hint="eastAsia" w:ascii="宋体" w:hAnsi="宋体" w:cs="宋体"/>
                <w:lang w:eastAsia="zh-CN"/>
              </w:rPr>
              <w:t xml:space="preserve">。</w:t>
            </w:r>
            <w:r>
              <w:rPr>
                <w:rFonts w:hint="eastAsia" w:ascii="宋体" w:hAnsi="宋体" w:cs="宋体"/>
              </w:rPr>
              <w:t xml:space="preserve">若</w:t>
            </w:r>
            <w:r>
              <w:rPr>
                <w:rFonts w:hint="eastAsia" w:ascii="宋体" w:hAnsi="宋体" w:cs="宋体"/>
                <w:spacing w:val="1"/>
              </w:rPr>
              <w:t xml:space="preserve">高校或军队的事业编制人员无法提供社保证明，提供所在单位上级人事组织或编制主管部门出具的人员编制核准证明材料；退休人员提供本人退休证和劳动合同；若省市相关部门有政策允许社保缴费中缴费金额为零或者非到账状态等情况，提供政策文件及劳动合同</w:t>
            </w:r>
            <w:r>
              <w:rPr>
                <w:rFonts w:hint="eastAsia" w:ascii="宋体" w:hAnsi="宋体" w:cs="宋体"/>
              </w:rPr>
              <w:t xml:space="preserve">）</w:t>
            </w:r>
            <w:r>
              <w:rPr>
                <w:rFonts w:hint="eastAsia" w:ascii="宋体" w:hAnsi="宋体" w:cs="宋体"/>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38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5.2</w:t>
            </w:r>
            <w:r>
              <w:rPr>
                <w:rFonts w:hint="eastAsia" w:ascii="宋体" w:hAnsi="宋体" w:cs="宋体"/>
                <w:spacing w:val="-2"/>
              </w:rPr>
            </w:r>
            <w:r/>
          </w:p>
        </w:tc>
        <w:tc>
          <w:tcPr>
            <w:tcW w:w="1179"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履约能力2</w:t>
            </w:r>
            <w:r>
              <w:rPr>
                <w:rFonts w:hint="eastAsia" w:ascii="宋体" w:hAnsi="宋体" w:cs="宋体"/>
              </w:rPr>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投标人拟投入本项目的现场项目经理：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(1)具有注册信息安全专业人员(CISP)证书的，得1分。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(2)具有数字经济类（或电子信息类）中级工程师或以上职称证书，得1分。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(3)具有有效期内信息安全保障人员认证(CISAW)-安全集成证书，得1分。</w:t>
            </w:r>
            <w:r>
              <w:rPr>
                <w:rFonts w:hint="eastAsia" w:ascii="宋体" w:hAnsi="宋体" w:cs="宋体"/>
              </w:rPr>
            </w:r>
            <w:r/>
          </w:p>
          <w:p>
            <w:pPr>
              <w:pStyle w:val="869"/>
              <w:spacing w:line="264" w:lineRule="auto"/>
              <w:rPr>
                <w:rFonts w:hint="eastAsia" w:ascii="宋体" w:hAnsi="宋体" w:cs="宋体"/>
              </w:rPr>
            </w:pP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rPr>
              <w:t xml:space="preserve">及投标人为其缴纳的2025年6月以来任意一个月的社保证明材料，缺一不可</w:t>
            </w:r>
            <w:r>
              <w:rPr>
                <w:rFonts w:hint="eastAsia" w:ascii="宋体" w:hAnsi="宋体" w:cs="宋体"/>
                <w:lang w:eastAsia="zh-CN"/>
              </w:rPr>
              <w:t xml:space="preserve">。</w:t>
            </w:r>
            <w:r>
              <w:rPr>
                <w:rFonts w:hint="eastAsia" w:ascii="宋体" w:hAnsi="宋体" w:cs="宋体"/>
              </w:rPr>
              <w:t xml:space="preserve">若</w:t>
            </w:r>
            <w:r>
              <w:rPr>
                <w:rFonts w:hint="eastAsia" w:ascii="宋体" w:hAnsi="宋体" w:cs="宋体"/>
                <w:spacing w:val="1"/>
              </w:rPr>
              <w:t xml:space="preserve">高校或军队的事业编制人员无法提供社保证明，提供所在单位上级人事组织或编制主管部门出具的人员编制核准证明材料；退休人员提供本人退休证和劳动合同；若省市相关部门有政策允许社保缴费中缴费金额为零或者非到账状态等情况，提供政策文件及劳动合同</w:t>
            </w:r>
            <w:r>
              <w:rPr>
                <w:rFonts w:hint="eastAsia" w:ascii="宋体" w:hAnsi="宋体" w:cs="宋体"/>
              </w:rPr>
              <w:t xml:space="preserve">）</w:t>
            </w:r>
            <w:r>
              <w:rPr>
                <w:rFonts w:hint="eastAsia" w:ascii="宋体" w:hAnsi="宋体" w:cs="宋体"/>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38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5.3</w:t>
            </w:r>
            <w:r>
              <w:rPr>
                <w:rFonts w:hint="eastAsia" w:ascii="宋体" w:hAnsi="宋体" w:cs="宋体"/>
                <w:spacing w:val="-2"/>
              </w:rPr>
            </w:r>
            <w:r/>
          </w:p>
        </w:tc>
        <w:tc>
          <w:tcPr>
            <w:tcW w:w="1179" w:type="dxa"/>
            <w:vAlign w:val="center"/>
            <w:textDirection w:val="lrTb"/>
            <w:noWrap w:val="false"/>
          </w:tcPr>
          <w:p>
            <w:pPr>
              <w:pStyle w:val="869"/>
              <w:spacing w:line="264" w:lineRule="auto"/>
              <w:rPr>
                <w:rFonts w:ascii="宋体" w:hAnsi="宋体" w:cs="宋体"/>
              </w:rPr>
            </w:pPr>
            <w:r>
              <w:rPr>
                <w:rFonts w:hint="eastAsia" w:ascii="宋体" w:hAnsi="宋体" w:cs="宋体"/>
              </w:rPr>
              <w:t xml:space="preserve">履约能力3</w:t>
            </w:r>
            <w:r>
              <w:rPr>
                <w:rFonts w:ascii="宋体" w:hAnsi="宋体" w:cs="宋体"/>
              </w:rPr>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投标人拟投入本项目的项目组成员（除项目负责人、现场项目经理外）：</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（1）具有</w:t>
            </w:r>
            <w:r>
              <w:rPr>
                <w:rFonts w:hint="eastAsia" w:ascii="宋体" w:hAnsi="宋体" w:cs="宋体"/>
                <w:spacing w:val="9"/>
              </w:rPr>
              <w:t xml:space="preserve">有效期内注册信息安全专业人员(</w:t>
            </w:r>
            <w:r>
              <w:rPr>
                <w:rFonts w:hint="eastAsia" w:ascii="宋体" w:hAnsi="宋体" w:cs="宋体"/>
              </w:rPr>
              <w:t xml:space="preserve">CISP</w:t>
            </w:r>
            <w:r>
              <w:rPr>
                <w:rFonts w:hint="eastAsia" w:ascii="宋体" w:hAnsi="宋体" w:cs="宋体"/>
                <w:spacing w:val="9"/>
              </w:rPr>
              <w:t xml:space="preserve">)证书的，每提供1个得</w:t>
            </w:r>
            <w:r>
              <w:rPr>
                <w:rFonts w:hint="eastAsia" w:ascii="宋体" w:hAnsi="宋体" w:cs="宋体"/>
                <w:spacing w:val="8"/>
              </w:rPr>
              <w:t xml:space="preserve">1</w:t>
            </w:r>
            <w:r>
              <w:rPr>
                <w:rFonts w:hint="eastAsia" w:ascii="宋体" w:hAnsi="宋体" w:cs="宋体"/>
                <w:spacing w:val="-19"/>
              </w:rPr>
              <w:t xml:space="preserve">分</w:t>
            </w:r>
            <w:r>
              <w:rPr>
                <w:rFonts w:hint="eastAsia" w:ascii="宋体" w:hAnsi="宋体" w:cs="宋体"/>
                <w:spacing w:val="-11"/>
              </w:rPr>
              <w:t xml:space="preserve">，最多得2分；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（2）具有数字经济类（或电子信息类）中级工程师或以上职称证书的，</w:t>
            </w:r>
            <w:r>
              <w:rPr>
                <w:rFonts w:hint="eastAsia" w:ascii="宋体" w:hAnsi="宋体" w:cs="宋体"/>
                <w:spacing w:val="9"/>
              </w:rPr>
              <w:t xml:space="preserve">每提供1个得</w:t>
            </w:r>
            <w:r>
              <w:rPr>
                <w:rFonts w:hint="eastAsia" w:ascii="宋体" w:hAnsi="宋体" w:cs="宋体"/>
                <w:spacing w:val="8"/>
              </w:rPr>
              <w:t xml:space="preserve">1</w:t>
            </w:r>
            <w:r>
              <w:rPr>
                <w:rFonts w:hint="eastAsia" w:ascii="宋体" w:hAnsi="宋体" w:cs="宋体"/>
                <w:spacing w:val="-19"/>
              </w:rPr>
              <w:t xml:space="preserve">分</w:t>
            </w:r>
            <w:r>
              <w:rPr>
                <w:rFonts w:hint="eastAsia" w:ascii="宋体" w:hAnsi="宋体" w:cs="宋体"/>
                <w:spacing w:val="-11"/>
              </w:rPr>
              <w:t xml:space="preserve">，最多得2分；</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（3）</w:t>
            </w:r>
            <w:r>
              <w:rPr>
                <w:rFonts w:hint="eastAsia" w:ascii="宋体" w:hAnsi="宋体" w:cs="宋体"/>
                <w:spacing w:val="7"/>
              </w:rPr>
              <w:t xml:space="preserve">具有有效期内信息安全保障人员认证证书(</w:t>
            </w:r>
            <w:r>
              <w:rPr>
                <w:rFonts w:hint="eastAsia" w:ascii="宋体" w:hAnsi="宋体" w:cs="宋体"/>
              </w:rPr>
              <w:t xml:space="preserve">CISAW</w:t>
            </w:r>
            <w:r>
              <w:rPr>
                <w:rFonts w:hint="eastAsia" w:ascii="宋体" w:hAnsi="宋体" w:cs="宋体"/>
                <w:spacing w:val="7"/>
              </w:rPr>
              <w:t xml:space="preserve">)安全软件认证证书的的，每提供1个得</w:t>
            </w:r>
            <w:r>
              <w:rPr>
                <w:rFonts w:hint="eastAsia" w:ascii="宋体" w:hAnsi="宋体" w:cs="宋体"/>
                <w:spacing w:val="-14"/>
              </w:rPr>
              <w:t xml:space="preserve">1分，最多得2分</w:t>
            </w:r>
            <w:r>
              <w:rPr>
                <w:rFonts w:hint="eastAsia" w:ascii="宋体" w:hAnsi="宋体" w:cs="宋体"/>
                <w:spacing w:val="-13"/>
              </w:rPr>
              <w:t xml:space="preserve">。</w:t>
            </w:r>
            <w:r>
              <w:rPr>
                <w:rFonts w:hint="eastAsia" w:ascii="宋体" w:hAnsi="宋体" w:cs="宋体"/>
              </w:rPr>
            </w:r>
            <w:r/>
          </w:p>
          <w:p>
            <w:pPr>
              <w:pStyle w:val="869"/>
              <w:spacing w:line="264" w:lineRule="auto"/>
              <w:rPr>
                <w:rFonts w:hint="eastAsia" w:ascii="宋体" w:hAnsi="宋体" w:cs="宋体"/>
              </w:rPr>
            </w:pPr>
            <w:r>
              <w:rPr>
                <w:rFonts w:ascii="宋体" w:hAnsi="宋体" w:cs="宋体"/>
                <w:lang w:val="zh-CN"/>
              </w:rPr>
              <w:t xml:space="preserve">（</w:t>
            </w:r>
            <w:r>
              <w:rPr>
                <w:rFonts w:hint="eastAsia" w:ascii="宋体" w:hAnsi="宋体" w:cs="宋体"/>
                <w:szCs w:val="22"/>
              </w:rPr>
              <w:t xml:space="preserve">多人一证、一人多证不重复计分，</w:t>
            </w: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rPr>
              <w:t xml:space="preserve">及投标人为其缴纳的2025年6月以来任意一个月的社保证明材料，缺一不可。若</w:t>
            </w:r>
            <w:r>
              <w:rPr>
                <w:rFonts w:hint="eastAsia" w:ascii="宋体" w:hAnsi="宋体" w:cs="宋体"/>
                <w:spacing w:val="1"/>
              </w:rPr>
              <w:t xml:space="preserve">高校或军队的事业编制人员无法提供社保证明，提供所在单位上级人事组织或编制主管部门出具的人员编制核准证明材料；退休人员提供本人退休证和劳动合同；若省市相关部门有政策允许社保缴费中缴费金额为零或者非到账状态等情况，提供政策文件及劳动合同</w:t>
            </w:r>
            <w:r>
              <w:rPr>
                <w:rFonts w:hint="eastAsia" w:ascii="宋体" w:hAnsi="宋体" w:cs="宋体"/>
              </w:rPr>
              <w:t xml:space="preserve">）</w:t>
            </w:r>
            <w:r>
              <w:rPr>
                <w:rFonts w:hint="eastAsia" w:ascii="宋体" w:hAnsi="宋体" w:cs="宋体"/>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5.4</w:t>
            </w:r>
            <w:r>
              <w:rPr>
                <w:rFonts w:ascii="宋体" w:hAnsi="宋体" w:cs="宋体"/>
                <w:spacing w:val="-2"/>
              </w:rPr>
            </w:r>
            <w:r/>
          </w:p>
        </w:tc>
        <w:tc>
          <w:tcPr>
            <w:tcW w:w="1179" w:type="dxa"/>
            <w:vAlign w:val="center"/>
            <w:textDirection w:val="lrTb"/>
            <w:noWrap w:val="false"/>
          </w:tcPr>
          <w:p>
            <w:pPr>
              <w:pStyle w:val="869"/>
              <w:spacing w:before="69" w:line="264" w:lineRule="auto"/>
              <w:rPr>
                <w:rFonts w:ascii="宋体" w:hAnsi="宋体" w:cs="宋体"/>
                <w:spacing w:val="-1"/>
              </w:rPr>
            </w:pPr>
            <w:r>
              <w:rPr>
                <w:rFonts w:hint="eastAsia" w:ascii="宋体" w:hAnsi="宋体" w:cs="宋体"/>
                <w:spacing w:val="-1"/>
              </w:rPr>
              <w:t xml:space="preserve">履约能力4</w:t>
            </w:r>
            <w:r>
              <w:rPr>
                <w:rFonts w:ascii="宋体" w:hAnsi="宋体" w:cs="宋体"/>
                <w:spacing w:val="-1"/>
              </w:rPr>
            </w:r>
            <w:r/>
          </w:p>
        </w:tc>
        <w:tc>
          <w:tcPr>
            <w:tcW w:w="6330" w:type="dxa"/>
            <w:vAlign w:val="center"/>
            <w:textDirection w:val="lrTb"/>
            <w:noWrap w:val="false"/>
          </w:tcPr>
          <w:p>
            <w:pPr>
              <w:pStyle w:val="869"/>
              <w:spacing w:line="264" w:lineRule="auto"/>
              <w:rPr>
                <w:rFonts w:hint="eastAsia" w:ascii="宋体" w:hAnsi="宋体" w:cs="宋体"/>
                <w:spacing w:val="-8"/>
              </w:rPr>
            </w:pPr>
            <w:r>
              <w:rPr>
                <w:rFonts w:hint="eastAsia" w:ascii="宋体" w:hAnsi="宋体" w:cs="宋体"/>
                <w:spacing w:val="-8"/>
              </w:rPr>
              <w:t xml:space="preserve">投标人具有软件著作权证书，软件名称包含“安全管理平台”或“安全防范平台”或“风险排查”等关键字，每提供1个证书得2分，最多得6分。 （所提供证书“软件名称”与评分细则规定不同时，应提供符合上述要求的内容（功能）说明及关键信息，否则不予认可。）</w:t>
            </w:r>
            <w:r>
              <w:rPr>
                <w:rFonts w:hint="eastAsia" w:ascii="宋体" w:hAnsi="宋体" w:cs="宋体"/>
                <w:spacing w:val="-8"/>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5.5</w:t>
            </w:r>
            <w:r>
              <w:rPr>
                <w:rFonts w:ascii="宋体" w:hAnsi="宋体" w:cs="宋体"/>
                <w:spacing w:val="-2"/>
              </w:rPr>
            </w:r>
            <w:r/>
          </w:p>
        </w:tc>
        <w:tc>
          <w:tcPr>
            <w:tcW w:w="1179" w:type="dxa"/>
            <w:vAlign w:val="center"/>
            <w:textDirection w:val="lrTb"/>
            <w:noWrap w:val="false"/>
          </w:tcPr>
          <w:p>
            <w:pPr>
              <w:pStyle w:val="869"/>
              <w:spacing w:before="69" w:line="264" w:lineRule="auto"/>
              <w:rPr>
                <w:rFonts w:ascii="宋体" w:hAnsi="宋体" w:cs="宋体"/>
                <w:spacing w:val="-1"/>
              </w:rPr>
            </w:pPr>
            <w:r>
              <w:rPr>
                <w:rFonts w:hint="eastAsia" w:ascii="宋体" w:hAnsi="宋体" w:cs="宋体"/>
                <w:spacing w:val="-1"/>
              </w:rPr>
              <w:t xml:space="preserve">履约能力5</w:t>
            </w:r>
            <w:r>
              <w:rPr>
                <w:rFonts w:ascii="宋体" w:hAnsi="宋体" w:cs="宋体"/>
                <w:spacing w:val="-1"/>
              </w:rPr>
            </w:r>
            <w:r/>
          </w:p>
        </w:tc>
        <w:tc>
          <w:tcPr>
            <w:tcW w:w="6330" w:type="dxa"/>
            <w:vAlign w:val="center"/>
            <w:textDirection w:val="lrTb"/>
            <w:noWrap w:val="false"/>
          </w:tcPr>
          <w:p>
            <w:pPr>
              <w:pStyle w:val="869"/>
              <w:spacing w:line="264" w:lineRule="auto"/>
              <w:rPr>
                <w:rFonts w:ascii="宋体" w:hAnsi="宋体" w:cs="宋体"/>
                <w:spacing w:val="-8"/>
              </w:rPr>
            </w:pPr>
            <w:r>
              <w:rPr>
                <w:rFonts w:hint="eastAsia" w:ascii="宋体" w:hAnsi="宋体" w:cs="宋体"/>
                <w:spacing w:val="-8"/>
              </w:rPr>
              <w:t xml:space="preserve">投标人具有有效期内的大数据服务安全能力评价认证证书，得3分，未提供不得分（提供证书）</w:t>
            </w:r>
            <w:r>
              <w:rPr>
                <w:rFonts w:ascii="宋体" w:hAnsi="宋体" w:cs="宋体"/>
                <w:spacing w:val="-8"/>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64"/>
        </w:trPr>
        <w:tc>
          <w:tcPr>
            <w:tcW w:w="519" w:type="dxa"/>
            <w:vAlign w:val="center"/>
            <w:textDirection w:val="lrTb"/>
            <w:noWrap w:val="false"/>
          </w:tcPr>
          <w:p>
            <w:pPr>
              <w:pStyle w:val="869"/>
              <w:jc w:val="center"/>
              <w:spacing w:line="264"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color w:val="ff0000"/>
              </w:rPr>
            </w:r>
            <w:r/>
          </w:p>
        </w:tc>
        <w:tc>
          <w:tcPr>
            <w:gridSpan w:val="2"/>
            <w:tcW w:w="7509" w:type="dxa"/>
            <w:vAlign w:val="center"/>
            <w:textDirection w:val="lrTb"/>
            <w:noWrap w:val="false"/>
          </w:tcPr>
          <w:p>
            <w:pPr>
              <w:pStyle w:val="869"/>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W w:w="1547"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9"/>
        <w:rPr>
          <w:rFonts w:hint="eastAsia"/>
        </w:rPr>
      </w:pPr>
      <w:r>
        <w:rPr>
          <w:rFonts w:hint="eastAsia"/>
        </w:rPr>
      </w:r>
      <w:r/>
    </w:p>
    <w:p>
      <w:pPr>
        <w:pStyle w:val="881"/>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6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3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6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3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6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39"/>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5"/>
        <w:rPr>
          <w:rFonts w:ascii="宋体" w:hAnsi="宋体"/>
          <w:sz w:val="24"/>
        </w:rPr>
      </w:pPr>
      <w:r>
        <w:rPr>
          <w:rFonts w:ascii="宋体" w:hAnsi="宋体"/>
          <w:sz w:val="24"/>
        </w:rPr>
      </w:r>
      <w:r/>
    </w:p>
    <w:p>
      <w:pPr>
        <w:pStyle w:val="985"/>
        <w:rPr>
          <w:rFonts w:ascii="宋体" w:hAnsi="宋体"/>
          <w:sz w:val="24"/>
        </w:rPr>
      </w:pPr>
      <w:r>
        <w:rPr>
          <w:rFonts w:ascii="宋体" w:hAnsi="宋体"/>
          <w:sz w:val="24"/>
        </w:rPr>
      </w:r>
      <w:r/>
    </w:p>
    <w:p>
      <w:pPr>
        <w:pStyle w:val="985"/>
        <w:rPr>
          <w:rFonts w:ascii="宋体" w:hAnsi="宋体"/>
          <w:sz w:val="24"/>
        </w:rPr>
      </w:pPr>
      <w:r>
        <w:rPr>
          <w:rFonts w:ascii="宋体" w:hAnsi="宋体"/>
          <w:sz w:val="24"/>
        </w:rPr>
      </w:r>
      <w:r/>
    </w:p>
    <w:p>
      <w:pPr>
        <w:pStyle w:val="985"/>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7"/>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6"/>
        <w:ind w:firstLine="480"/>
        <w:spacing w:line="420" w:lineRule="exact"/>
        <w:tabs>
          <w:tab w:val="left" w:pos="360" w:leader="none"/>
        </w:tabs>
        <w:rPr>
          <w:rFonts w:hint="eastAsia"/>
          <w:sz w:val="24"/>
          <w:szCs w:val="24"/>
        </w:rPr>
      </w:pPr>
      <w:r>
        <w:rPr>
          <w:rFonts w:hint="eastAsia"/>
          <w:sz w:val="24"/>
          <w:szCs w:val="24"/>
        </w:rPr>
      </w:r>
      <w:r/>
    </w:p>
    <w:p>
      <w:pPr>
        <w:pStyle w:val="95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格式3__银行出具的资信证明"/>
      <w:r/>
      <w:bookmarkEnd w:id="204"/>
      <w:r/>
      <w:bookmarkStart w:id="205" w:name="_Hlt26671380"/>
      <w:r/>
      <w:bookmarkEnd w:id="205"/>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5"/>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5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58"/>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8"/>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1"/>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1"/>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5"/>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bookmarkEnd w:id="202"/>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４２</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8">
    <w:name w:val="批注文字 字符"/>
    <w:basedOn w:val="879"/>
    <w:next w:val="898"/>
    <w:link w:val="897"/>
    <w:rPr>
      <w:rFonts w:ascii="Calibri" w:hAnsi="Calibri" w:eastAsia="宋体" w:cs="Times New Roman"/>
      <w:sz w:val="21"/>
      <w:szCs w:val="24"/>
    </w:rPr>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7"/>
    <w:next w:val="897"/>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3"/>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Char"/>
    <w:basedOn w:val="879"/>
    <w:next w:val="947"/>
    <w:link w:val="897"/>
    <w:uiPriority w:val="99"/>
    <w:semiHidden/>
  </w:style>
  <w:style w:type="character" w:styleId="948">
    <w:name w:val="font5 Char"/>
    <w:next w:val="948"/>
    <w:link w:val="869"/>
    <w:rPr>
      <w:rFonts w:ascii="宋体" w:hAnsi="宋体" w:eastAsia="宋体"/>
      <w:sz w:val="28"/>
      <w:szCs w:val="28"/>
      <w:lang w:val="en-US" w:eastAsia="zh-CN" w:bidi="ar-SA"/>
    </w:rPr>
  </w:style>
  <w:style w:type="character" w:styleId="949">
    <w:name w:val="二级目录 Char"/>
    <w:next w:val="949"/>
    <w:link w:val="950"/>
    <w:rPr>
      <w:b/>
      <w:sz w:val="30"/>
      <w:szCs w:val="28"/>
    </w:rPr>
  </w:style>
  <w:style w:type="paragraph" w:styleId="950">
    <w:name w:val="二级目录"/>
    <w:next w:val="869"/>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69"/>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69"/>
    <w:next w:val="901"/>
    <w:link w:val="869"/>
    <w:pPr>
      <w:spacing w:after="120"/>
    </w:pPr>
    <w:rPr>
      <w:rFonts w:ascii="宋体" w:hAnsi="Arial" w:eastAsia="宋体" w:cs="Times New Roman"/>
      <w:bCs/>
      <w:iCs/>
      <w:szCs w:val="24"/>
    </w:rPr>
  </w:style>
  <w:style w:type="paragraph" w:styleId="954">
    <w:name w:val="xl27"/>
    <w:basedOn w:val="869"/>
    <w:next w:val="95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69"/>
    <w:next w:val="955"/>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69"/>
    <w:next w:val="956"/>
    <w:link w:val="869"/>
    <w:pPr>
      <w:ind w:firstLine="200"/>
      <w:tabs>
        <w:tab w:val="left" w:pos="360" w:leader="none"/>
      </w:tabs>
    </w:pPr>
    <w:rPr>
      <w:rFonts w:ascii="Times New Roman" w:hAnsi="Times New Roman" w:eastAsia="宋体" w:cs="Times New Roman"/>
      <w:sz w:val="28"/>
      <w:szCs w:val="30"/>
    </w:rPr>
  </w:style>
  <w:style w:type="paragraph" w:styleId="957">
    <w:name w:val=" Char"/>
    <w:basedOn w:val="895"/>
    <w:next w:val="957"/>
    <w:link w:val="869"/>
    <w:rPr>
      <w:rFonts w:ascii="Tahoma" w:hAnsi="Tahoma"/>
      <w:sz w:val="24"/>
      <w:szCs w:val="24"/>
    </w:rPr>
  </w:style>
  <w:style w:type="paragraph" w:styleId="958">
    <w:name w:val="普通正文"/>
    <w:basedOn w:val="869"/>
    <w:next w:val="958"/>
    <w:link w:val="869"/>
    <w:pPr>
      <w:ind w:firstLine="480"/>
      <w:jc w:val="left"/>
      <w:spacing w:before="120" w:after="120" w:line="360" w:lineRule="auto"/>
    </w:pPr>
    <w:rPr>
      <w:rFonts w:ascii="Arial" w:hAnsi="Arial" w:eastAsia="宋体" w:cs="Times New Roman"/>
      <w:sz w:val="24"/>
      <w:szCs w:val="24"/>
    </w:rPr>
  </w:style>
  <w:style w:type="paragraph" w:styleId="959">
    <w:name w:val="table_lines"/>
    <w:basedOn w:val="869"/>
    <w:next w:val="959"/>
    <w:link w:val="869"/>
    <w:pPr>
      <w:jc w:val="left"/>
      <w:widowControl/>
    </w:pPr>
    <w:rPr>
      <w:rFonts w:ascii="Times New Roman" w:hAnsi="Times New Roman" w:eastAsia="宋体" w:cs="Times New Roman"/>
      <w:sz w:val="20"/>
      <w:szCs w:val="20"/>
      <w:lang w:val="de-DE" w:eastAsia="de-DE"/>
    </w:rPr>
  </w:style>
  <w:style w:type="paragraph" w:styleId="960">
    <w:name w:val="附录1"/>
    <w:next w:val="960"/>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1">
    <w:name w:val="font7"/>
    <w:basedOn w:val="869"/>
    <w:next w:val="961"/>
    <w:link w:val="869"/>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5"/>
    <w:next w:val="962"/>
    <w:link w:val="869"/>
    <w:pPr>
      <w:spacing w:line="360" w:lineRule="auto"/>
    </w:pPr>
    <w:rPr>
      <w:rFonts w:ascii="Tahoma" w:hAnsi="Tahoma"/>
      <w:sz w:val="24"/>
      <w:szCs w:val="24"/>
    </w:rPr>
  </w:style>
  <w:style w:type="paragraph" w:styleId="963">
    <w:name w:val="列出段落"/>
    <w:basedOn w:val="869"/>
    <w:next w:val="963"/>
    <w:link w:val="869"/>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5">
    <w:name w:val="普通 (Web)"/>
    <w:basedOn w:val="869"/>
    <w:next w:val="965"/>
    <w:link w:val="869"/>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9"/>
    <w:next w:val="966"/>
    <w:link w:val="869"/>
    <w:pPr>
      <w:spacing w:line="360" w:lineRule="auto"/>
    </w:pPr>
    <w:rPr>
      <w:rFonts w:ascii="Times New Roman" w:hAnsi="Times New Roman" w:eastAsia="宋体" w:cs="Times New Roman"/>
      <w:sz w:val="24"/>
      <w:szCs w:val="20"/>
    </w:rPr>
  </w:style>
  <w:style w:type="paragraph" w:styleId="967">
    <w:name w:val="样式1"/>
    <w:basedOn w:val="869"/>
    <w:next w:val="967"/>
    <w:link w:val="869"/>
    <w:pPr>
      <w:numPr>
        <w:ilvl w:val="0"/>
        <w:numId w:val="3"/>
      </w:numPr>
      <w:tabs>
        <w:tab w:val="left" w:pos="709" w:leader="none"/>
      </w:tabs>
    </w:pPr>
    <w:rPr>
      <w:rFonts w:ascii="宋体" w:hAnsi="宋体" w:eastAsia="宋体" w:cs="Times New Roman"/>
      <w:szCs w:val="21"/>
    </w:rPr>
  </w:style>
  <w:style w:type="paragraph" w:styleId="968">
    <w:name w:val="font6"/>
    <w:basedOn w:val="869"/>
    <w:next w:val="968"/>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9"/>
    <w:next w:val="969"/>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2">
    <w:name w:val="xl24"/>
    <w:basedOn w:val="869"/>
    <w:next w:val="97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9"/>
    <w:next w:val="973"/>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9"/>
    <w:next w:val="974"/>
    <w:link w:val="869"/>
    <w:pPr>
      <w:jc w:val="left"/>
      <w:spacing w:after="160" w:line="240" w:lineRule="exact"/>
      <w:widowControl/>
    </w:pPr>
    <w:rPr>
      <w:rFonts w:ascii="Verdana" w:hAnsi="Verdana" w:eastAsia="宋体" w:cs="Times New Roman"/>
      <w:sz w:val="20"/>
      <w:szCs w:val="20"/>
      <w:lang w:eastAsia="en-US"/>
    </w:rPr>
  </w:style>
  <w:style w:type="paragraph" w:styleId="975">
    <w:name w:val="xl28"/>
    <w:basedOn w:val="869"/>
    <w:next w:val="975"/>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30"/>
    <w:basedOn w:val="869"/>
    <w:next w:val="977"/>
    <w:link w:val="869"/>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5"/>
    <w:next w:val="978"/>
    <w:link w:val="869"/>
    <w:pPr>
      <w:spacing w:line="360" w:lineRule="auto"/>
    </w:pPr>
    <w:rPr>
      <w:rFonts w:ascii="Tahoma" w:hAnsi="Tahoma"/>
      <w:sz w:val="24"/>
      <w:szCs w:val="24"/>
    </w:rPr>
  </w:style>
  <w:style w:type="paragraph" w:styleId="979">
    <w:name w:val="table_1stline"/>
    <w:basedOn w:val="869"/>
    <w:next w:val="979"/>
    <w:link w:val="869"/>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9"/>
    <w:next w:val="980"/>
    <w:link w:val="869"/>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9"/>
    <w:uiPriority w:val="99"/>
    <w:semiHidden/>
    <w:rPr>
      <w:rFonts w:ascii="Times New Roman" w:hAnsi="Times New Roman"/>
      <w:sz w:val="21"/>
      <w:szCs w:val="21"/>
      <w:lang w:val="en-US" w:eastAsia="zh-CN" w:bidi="ar-SA"/>
    </w:rPr>
  </w:style>
  <w:style w:type="paragraph" w:styleId="983">
    <w:name w:val="无间隔"/>
    <w:next w:val="983"/>
    <w:link w:val="869"/>
    <w:uiPriority w:val="99"/>
    <w:qFormat/>
    <w:pPr>
      <w:jc w:val="both"/>
      <w:widowControl w:val="off"/>
    </w:pPr>
    <w:rPr>
      <w:rFonts w:ascii="Times New Roman" w:hAnsi="Times New Roman"/>
      <w:sz w:val="21"/>
      <w:szCs w:val="21"/>
      <w:lang w:val="en-US" w:eastAsia="zh-CN" w:bidi="ar-SA"/>
    </w:rPr>
  </w:style>
  <w:style w:type="table" w:styleId="984">
    <w:name w:val="Table Normal"/>
    <w:next w:val="984"/>
    <w:link w:val="869"/>
    <w:qFormat/>
    <w:tblPr/>
  </w:style>
  <w:style w:type="paragraph" w:styleId="985">
    <w:name w:val="正文文本12"/>
    <w:basedOn w:val="869"/>
    <w:next w:val="985"/>
    <w:link w:val="869"/>
    <w:uiPriority w:val="1"/>
    <w:qFormat/>
    <w:pPr>
      <w:ind w:left="120"/>
    </w:pPr>
    <w:rPr>
      <w:rFonts w:ascii="宋体" w:hAnsi="宋体" w:eastAsia="宋体" w:cs="宋体"/>
      <w:sz w:val="21"/>
      <w:szCs w:val="21"/>
      <w:lang w:val="zh-CN" w:eastAsia="zh-CN" w:bidi="zh-CN"/>
    </w:r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Table Paragraph"/>
    <w:basedOn w:val="869"/>
    <w:next w:val="988"/>
    <w:link w:val="869"/>
    <w:uiPriority w:val="1"/>
    <w:qFormat/>
    <w:pPr>
      <w:jc w:val="left"/>
    </w:pPr>
    <w:rPr>
      <w:rFonts w:ascii="宋体" w:hAnsi="宋体" w:eastAsia="宋体" w:cs="宋体"/>
      <w:sz w:val="22"/>
      <w:szCs w:val="22"/>
      <w:lang w:val="zh-CN" w:bidi="zh-CN"/>
    </w:rPr>
  </w:style>
  <w:style w:type="table" w:styleId="989">
    <w:name w:val="网格型1"/>
    <w:basedOn w:val="990"/>
    <w:next w:val="989"/>
    <w:link w:val="869"/>
    <w:qFormat/>
    <w:pPr>
      <w:jc w:val="both"/>
      <w:widowControl w:val="off"/>
    </w:pPr>
    <w:tblPr/>
  </w:style>
  <w:style w:type="table" w:styleId="990">
    <w:name w:val="普通表格1"/>
    <w:next w:val="990"/>
    <w:link w:val="869"/>
    <w:uiPriority w:val="99"/>
    <w:unhideWhenUsed/>
    <w:qFormat/>
    <w:tblPr/>
  </w:style>
  <w:style w:type="paragraph" w:styleId="991">
    <w:name w:val="正文文本缩进1"/>
    <w:basedOn w:val="869"/>
    <w:next w:val="992"/>
    <w:link w:val="869"/>
    <w:unhideWhenUsed/>
    <w:qFormat/>
    <w:pPr>
      <w:ind w:left="420"/>
      <w:spacing w:after="120"/>
    </w:pPr>
  </w:style>
  <w:style w:type="paragraph" w:styleId="992">
    <w:name w:val="正文文本首行缩进 2"/>
    <w:basedOn w:val="991"/>
    <w:next w:val="992"/>
    <w:link w:val="869"/>
    <w:qFormat/>
    <w:pPr>
      <w:ind w:left="0" w:firstLine="420"/>
      <w:spacing w:after="0" w:line="360" w:lineRule="auto"/>
    </w:pPr>
    <w:rPr>
      <w:rFonts w:ascii="宋体" w:hAnsi="宋体"/>
      <w:sz w:val="20"/>
      <w:szCs w:val="20"/>
      <w:lang w:val="en-US" w:eastAsia="en-US"/>
    </w:rPr>
  </w:style>
  <w:style w:type="table" w:styleId="993">
    <w:name w:val="Table Normal_0"/>
    <w:next w:val="993"/>
    <w:link w:val="869"/>
    <w:qFormat/>
    <w:tbl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5</cp:revision>
  <dcterms:created xsi:type="dcterms:W3CDTF">2023-03-16T02:13:00Z</dcterms:created>
  <dcterms:modified xsi:type="dcterms:W3CDTF">2025-11-21T06:43:06Z</dcterms:modified>
</cp:coreProperties>
</file>